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C39F" w14:textId="5C530204" w:rsidR="0072538A" w:rsidRDefault="0072538A" w:rsidP="001E55F9">
      <w:pPr>
        <w:spacing w:after="0" w:line="240" w:lineRule="auto"/>
        <w:jc w:val="center"/>
        <w:rPr>
          <w:rFonts w:ascii="Garamond" w:hAnsi="Garamond" w:cs="Times New Roman"/>
          <w:b/>
          <w:bCs/>
          <w:lang w:val="es-DO"/>
        </w:rPr>
      </w:pPr>
      <w:r w:rsidRPr="001E55F9">
        <w:rPr>
          <w:rFonts w:ascii="Garamond" w:hAnsi="Garamond" w:cs="Times New Roman"/>
          <w:b/>
          <w:bCs/>
          <w:lang w:val="es-DO"/>
        </w:rPr>
        <w:t>LISTA DE REQUISITOS A CONSULTAR</w:t>
      </w:r>
      <w:r w:rsidR="00866D98" w:rsidRPr="001E55F9">
        <w:rPr>
          <w:rFonts w:ascii="Garamond" w:hAnsi="Garamond" w:cs="Times New Roman"/>
          <w:b/>
          <w:bCs/>
          <w:lang w:val="es-DO"/>
        </w:rPr>
        <w:t xml:space="preserve"> POR CONSORCIO</w:t>
      </w:r>
    </w:p>
    <w:p w14:paraId="02437EC5" w14:textId="77777777" w:rsidR="001E55F9" w:rsidRPr="001E55F9" w:rsidRDefault="001E55F9" w:rsidP="001E55F9">
      <w:pPr>
        <w:spacing w:after="0" w:line="240" w:lineRule="auto"/>
        <w:jc w:val="center"/>
        <w:rPr>
          <w:rFonts w:ascii="Garamond" w:hAnsi="Garamond" w:cs="Times New Roman"/>
          <w:b/>
          <w:bCs/>
          <w:lang w:val="es-DO"/>
        </w:rPr>
      </w:pPr>
    </w:p>
    <w:p w14:paraId="2469C534" w14:textId="3781D12A" w:rsidR="0072538A" w:rsidRPr="001E55F9" w:rsidRDefault="0072538A" w:rsidP="001E55F9">
      <w:pPr>
        <w:spacing w:after="0" w:line="240" w:lineRule="auto"/>
        <w:jc w:val="both"/>
        <w:rPr>
          <w:rFonts w:ascii="Garamond" w:hAnsi="Garamond" w:cs="Times New Roman"/>
          <w:b/>
          <w:bCs/>
          <w:u w:val="single"/>
          <w:lang w:val="es-DO"/>
        </w:rPr>
      </w:pPr>
      <w:r w:rsidRPr="001E55F9">
        <w:rPr>
          <w:rFonts w:ascii="Garamond" w:hAnsi="Garamond" w:cs="Times New Roman"/>
          <w:lang w:val="es-DO"/>
        </w:rPr>
        <w:t>En el marco del proceso de evaluación técnica y como parte de la verificación de las propuestas recibidas, a continuación, se presenta el listado de requisitos</w:t>
      </w:r>
      <w:r w:rsidR="00866D98" w:rsidRPr="001E55F9">
        <w:rPr>
          <w:rFonts w:ascii="Garamond" w:hAnsi="Garamond" w:cs="Times New Roman"/>
          <w:lang w:val="es-DO"/>
        </w:rPr>
        <w:t xml:space="preserve"> para los cuales </w:t>
      </w:r>
      <w:r w:rsidRPr="001E55F9">
        <w:rPr>
          <w:rFonts w:ascii="Garamond" w:hAnsi="Garamond" w:cs="Times New Roman"/>
          <w:b/>
          <w:bCs/>
          <w:u w:val="single"/>
          <w:lang w:val="es-DO"/>
        </w:rPr>
        <w:t xml:space="preserve">se requiere que </w:t>
      </w:r>
      <w:r w:rsidR="00866D98" w:rsidRPr="001E55F9">
        <w:rPr>
          <w:rFonts w:ascii="Garamond" w:hAnsi="Garamond" w:cs="Times New Roman"/>
          <w:b/>
          <w:bCs/>
          <w:u w:val="single"/>
          <w:lang w:val="es-DO"/>
        </w:rPr>
        <w:t>los oferentes</w:t>
      </w:r>
      <w:r w:rsidRPr="001E55F9">
        <w:rPr>
          <w:rFonts w:ascii="Garamond" w:hAnsi="Garamond" w:cs="Times New Roman"/>
          <w:b/>
          <w:bCs/>
          <w:u w:val="single"/>
          <w:lang w:val="es-DO"/>
        </w:rPr>
        <w:t xml:space="preserve"> proporcione</w:t>
      </w:r>
      <w:r w:rsidR="00866D98" w:rsidRPr="001E55F9">
        <w:rPr>
          <w:rFonts w:ascii="Garamond" w:hAnsi="Garamond" w:cs="Times New Roman"/>
          <w:b/>
          <w:bCs/>
          <w:u w:val="single"/>
          <w:lang w:val="es-DO"/>
        </w:rPr>
        <w:t>n</w:t>
      </w:r>
      <w:r w:rsidRPr="001E55F9">
        <w:rPr>
          <w:rFonts w:ascii="Garamond" w:hAnsi="Garamond" w:cs="Times New Roman"/>
          <w:b/>
          <w:bCs/>
          <w:u w:val="single"/>
          <w:lang w:val="es-DO"/>
        </w:rPr>
        <w:t xml:space="preserve"> las aclaraciones y/o explicaciones técnicas que</w:t>
      </w:r>
      <w:r w:rsidR="00866D98" w:rsidRPr="001E55F9">
        <w:rPr>
          <w:rFonts w:ascii="Garamond" w:hAnsi="Garamond" w:cs="Times New Roman"/>
          <w:b/>
          <w:bCs/>
          <w:u w:val="single"/>
          <w:lang w:val="es-DO"/>
        </w:rPr>
        <w:t>, para cada requisito,</w:t>
      </w:r>
      <w:r w:rsidRPr="001E55F9">
        <w:rPr>
          <w:rFonts w:ascii="Garamond" w:hAnsi="Garamond" w:cs="Times New Roman"/>
          <w:b/>
          <w:bCs/>
          <w:u w:val="single"/>
          <w:lang w:val="es-DO"/>
        </w:rPr>
        <w:t xml:space="preserve"> permitan verificar, validar y comprender que </w:t>
      </w:r>
      <w:r w:rsidR="00866D98" w:rsidRPr="001E55F9">
        <w:rPr>
          <w:rFonts w:ascii="Garamond" w:hAnsi="Garamond" w:cs="Times New Roman"/>
          <w:b/>
          <w:bCs/>
          <w:u w:val="single"/>
          <w:lang w:val="es-DO"/>
        </w:rPr>
        <w:t>se satisfacen</w:t>
      </w:r>
      <w:r w:rsidRPr="001E55F9">
        <w:rPr>
          <w:rFonts w:ascii="Garamond" w:hAnsi="Garamond" w:cs="Times New Roman"/>
          <w:b/>
          <w:bCs/>
          <w:u w:val="single"/>
          <w:lang w:val="es-DO"/>
        </w:rPr>
        <w:t xml:space="preserve"> de conformidad con lo ofertado</w:t>
      </w:r>
      <w:r w:rsidR="00E32E7D" w:rsidRPr="001E55F9">
        <w:rPr>
          <w:rFonts w:ascii="Garamond" w:hAnsi="Garamond" w:cs="Times New Roman"/>
          <w:b/>
          <w:bCs/>
          <w:u w:val="single"/>
          <w:lang w:val="es-DO"/>
        </w:rPr>
        <w:t>.</w:t>
      </w:r>
    </w:p>
    <w:p w14:paraId="08BF1BF5" w14:textId="77777777" w:rsidR="0072538A" w:rsidRPr="001E55F9" w:rsidRDefault="0072538A" w:rsidP="001E55F9">
      <w:pPr>
        <w:spacing w:after="0" w:line="240" w:lineRule="auto"/>
        <w:jc w:val="both"/>
        <w:rPr>
          <w:rFonts w:ascii="Garamond" w:hAnsi="Garamond" w:cs="Times New Roman"/>
          <w:lang w:val="es-DO"/>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8303"/>
      </w:tblGrid>
      <w:tr w:rsidR="0072538A" w:rsidRPr="001E55F9" w14:paraId="6D87814F" w14:textId="77777777" w:rsidTr="001E55F9">
        <w:trPr>
          <w:trHeight w:val="42"/>
          <w:jc w:val="center"/>
        </w:trPr>
        <w:tc>
          <w:tcPr>
            <w:tcW w:w="9355" w:type="dxa"/>
            <w:gridSpan w:val="2"/>
            <w:shd w:val="clear" w:color="auto" w:fill="FFFFFF" w:themeFill="background1"/>
            <w:vAlign w:val="center"/>
          </w:tcPr>
          <w:p w14:paraId="26A04518" w14:textId="77777777" w:rsidR="0072538A" w:rsidRPr="001E55F9" w:rsidRDefault="0072538A" w:rsidP="001E55F9">
            <w:pPr>
              <w:spacing w:after="0" w:line="240" w:lineRule="auto"/>
              <w:jc w:val="center"/>
              <w:rPr>
                <w:rFonts w:ascii="Garamond" w:eastAsia="Times New Roman" w:hAnsi="Garamond" w:cs="Times New Roman"/>
                <w:b/>
                <w:bCs/>
                <w:color w:val="000000"/>
                <w:kern w:val="0"/>
                <w:lang w:val="es-DO"/>
                <w14:ligatures w14:val="none"/>
              </w:rPr>
            </w:pPr>
            <w:r w:rsidRPr="001E55F9">
              <w:rPr>
                <w:rFonts w:ascii="Garamond" w:eastAsia="Times New Roman" w:hAnsi="Garamond" w:cs="Times New Roman"/>
                <w:b/>
                <w:bCs/>
                <w:color w:val="000000"/>
                <w:kern w:val="0"/>
                <w:lang w:val="es-DO"/>
                <w14:ligatures w14:val="none"/>
              </w:rPr>
              <w:t>CONSORCIO ID SECURE IDS</w:t>
            </w:r>
          </w:p>
        </w:tc>
      </w:tr>
      <w:tr w:rsidR="0072538A" w:rsidRPr="001E55F9" w14:paraId="18861F51" w14:textId="77777777" w:rsidTr="001E55F9">
        <w:trPr>
          <w:trHeight w:val="288"/>
          <w:jc w:val="center"/>
        </w:trPr>
        <w:tc>
          <w:tcPr>
            <w:tcW w:w="1052" w:type="dxa"/>
            <w:shd w:val="clear" w:color="000000" w:fill="D9D9D9"/>
            <w:vAlign w:val="center"/>
            <w:hideMark/>
          </w:tcPr>
          <w:p w14:paraId="02789A81" w14:textId="77777777" w:rsidR="0072538A" w:rsidRPr="001E55F9" w:rsidRDefault="0072538A" w:rsidP="001E55F9">
            <w:pPr>
              <w:spacing w:after="0" w:line="240" w:lineRule="auto"/>
              <w:jc w:val="center"/>
              <w:rPr>
                <w:rFonts w:ascii="Garamond" w:eastAsia="Times New Roman" w:hAnsi="Garamond" w:cs="Times New Roman"/>
                <w:b/>
                <w:bCs/>
                <w:color w:val="000000"/>
                <w:kern w:val="0"/>
                <w14:ligatures w14:val="none"/>
              </w:rPr>
            </w:pPr>
            <w:r w:rsidRPr="001E55F9">
              <w:rPr>
                <w:rFonts w:ascii="Garamond" w:eastAsia="Times New Roman" w:hAnsi="Garamond" w:cs="Times New Roman"/>
                <w:b/>
                <w:bCs/>
                <w:color w:val="000000"/>
                <w:kern w:val="0"/>
                <w14:ligatures w14:val="none"/>
              </w:rPr>
              <w:t>1.7.6</w:t>
            </w:r>
          </w:p>
        </w:tc>
        <w:tc>
          <w:tcPr>
            <w:tcW w:w="8303" w:type="dxa"/>
            <w:shd w:val="clear" w:color="000000" w:fill="D9D9D9"/>
            <w:vAlign w:val="center"/>
            <w:hideMark/>
          </w:tcPr>
          <w:p w14:paraId="67CC026E" w14:textId="77777777" w:rsidR="0072538A" w:rsidRPr="001E55F9" w:rsidRDefault="0072538A" w:rsidP="001E55F9">
            <w:pPr>
              <w:spacing w:after="0" w:line="240" w:lineRule="auto"/>
              <w:jc w:val="both"/>
              <w:rPr>
                <w:rFonts w:ascii="Garamond" w:eastAsia="Times New Roman" w:hAnsi="Garamond" w:cs="Times New Roman"/>
                <w:b/>
                <w:bCs/>
                <w:color w:val="000000"/>
                <w:kern w:val="0"/>
                <w:lang w:val="es-DO"/>
                <w14:ligatures w14:val="none"/>
              </w:rPr>
            </w:pPr>
            <w:r w:rsidRPr="001E55F9">
              <w:rPr>
                <w:rFonts w:ascii="Garamond" w:eastAsia="Times New Roman" w:hAnsi="Garamond" w:cs="Times New Roman"/>
                <w:b/>
                <w:bCs/>
                <w:color w:val="000000"/>
                <w:kern w:val="0"/>
                <w:lang w:val="es-DO"/>
                <w14:ligatures w14:val="none"/>
              </w:rPr>
              <w:t>Funcionalidad de la firma electrónica</w:t>
            </w:r>
          </w:p>
        </w:tc>
      </w:tr>
      <w:tr w:rsidR="0072538A" w:rsidRPr="001E55F9" w14:paraId="18408917" w14:textId="77777777" w:rsidTr="001E55F9">
        <w:trPr>
          <w:trHeight w:val="350"/>
          <w:jc w:val="center"/>
        </w:trPr>
        <w:tc>
          <w:tcPr>
            <w:tcW w:w="1052" w:type="dxa"/>
            <w:shd w:val="clear" w:color="auto" w:fill="auto"/>
            <w:vAlign w:val="center"/>
            <w:hideMark/>
          </w:tcPr>
          <w:p w14:paraId="6C6C1960"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1.7.6.5</w:t>
            </w:r>
          </w:p>
        </w:tc>
        <w:tc>
          <w:tcPr>
            <w:tcW w:w="8303" w:type="dxa"/>
            <w:shd w:val="clear" w:color="auto" w:fill="auto"/>
            <w:vAlign w:val="center"/>
            <w:hideMark/>
          </w:tcPr>
          <w:p w14:paraId="0A166580" w14:textId="61C9A55F"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xml:space="preserve">Capacidad de almacenar, generar y usar claves RSA de, como </w:t>
            </w:r>
            <w:r w:rsidR="00E63D20" w:rsidRPr="001E55F9">
              <w:rPr>
                <w:rFonts w:ascii="Garamond" w:eastAsia="Times New Roman" w:hAnsi="Garamond" w:cs="Times New Roman"/>
                <w:color w:val="000000"/>
                <w:kern w:val="0"/>
                <w:lang w:val="es-DO"/>
                <w14:ligatures w14:val="none"/>
              </w:rPr>
              <w:t>mínimo</w:t>
            </w:r>
            <w:r w:rsidRPr="001E55F9">
              <w:rPr>
                <w:rFonts w:ascii="Garamond" w:eastAsia="Times New Roman" w:hAnsi="Garamond" w:cs="Times New Roman"/>
                <w:color w:val="000000"/>
                <w:kern w:val="0"/>
                <w:lang w:val="es-DO"/>
                <w14:ligatures w14:val="none"/>
              </w:rPr>
              <w:t xml:space="preserve">, 4096 bits de longitud (autoridad raíz y Subordinada). Para el caso de los certificados de ciudadanos será de 2048 bits. Las claves que componen la “PKI de Firma Digital” y la “PKI de Firma de Documentos” deben </w:t>
            </w:r>
            <w:r w:rsidR="00E63D20" w:rsidRPr="001E55F9">
              <w:rPr>
                <w:rFonts w:ascii="Garamond" w:eastAsia="Times New Roman" w:hAnsi="Garamond" w:cs="Times New Roman"/>
                <w:color w:val="000000"/>
                <w:kern w:val="0"/>
                <w:lang w:val="es-DO"/>
                <w14:ligatures w14:val="none"/>
              </w:rPr>
              <w:t>estar</w:t>
            </w:r>
            <w:r w:rsidRPr="001E55F9">
              <w:rPr>
                <w:rFonts w:ascii="Garamond" w:eastAsia="Times New Roman" w:hAnsi="Garamond" w:cs="Times New Roman"/>
                <w:color w:val="000000"/>
                <w:kern w:val="0"/>
                <w:lang w:val="es-DO"/>
                <w14:ligatures w14:val="none"/>
              </w:rPr>
              <w:t xml:space="preserve"> basadas en los estándares X.509v3 y el RFC 5280.  Se debe tener la capacidad de soportar curvas elípticas NIST P-256,  BrainpoolP256r1, entre otras, conforme con los estándares:</w:t>
            </w:r>
            <w:r w:rsidRPr="001E55F9">
              <w:rPr>
                <w:rFonts w:ascii="Garamond" w:eastAsia="Times New Roman" w:hAnsi="Garamond" w:cs="Times New Roman"/>
                <w:color w:val="000000"/>
                <w:kern w:val="0"/>
                <w:lang w:val="es-DO"/>
                <w14:ligatures w14:val="none"/>
              </w:rPr>
              <w:br/>
              <w:t xml:space="preserve">o TR-03111 Elliptic Curve Cryptography (ECC) based on ISO 15946. </w:t>
            </w:r>
            <w:r w:rsidRPr="001E55F9">
              <w:rPr>
                <w:rFonts w:ascii="Garamond" w:eastAsia="Times New Roman" w:hAnsi="Garamond" w:cs="Times New Roman"/>
                <w:color w:val="000000"/>
                <w:kern w:val="0"/>
                <w14:ligatures w14:val="none"/>
              </w:rPr>
              <w:t>Technical Guideline TR-03111, Version 2.0</w:t>
            </w:r>
            <w:r w:rsidRPr="001E55F9">
              <w:rPr>
                <w:rFonts w:ascii="Garamond" w:eastAsia="Times New Roman" w:hAnsi="Garamond" w:cs="Times New Roman"/>
                <w:color w:val="000000"/>
                <w:kern w:val="0"/>
                <w14:ligatures w14:val="none"/>
              </w:rPr>
              <w:br/>
              <w:t>o ISO15946-1 ISO/IEC. 15946-1. Information technology – Security techniques – Cryptographic techniques based on elliptic curves – Part 1: General. 2002.</w:t>
            </w:r>
            <w:r w:rsidRPr="001E55F9">
              <w:rPr>
                <w:rFonts w:ascii="Garamond" w:eastAsia="Times New Roman" w:hAnsi="Garamond" w:cs="Times New Roman"/>
                <w:color w:val="000000"/>
                <w:kern w:val="0"/>
                <w14:ligatures w14:val="none"/>
              </w:rPr>
              <w:br/>
              <w:t>o ISO15946-2 ISO/IEC. 15946-2. Information technology – Security techniques – Cryptographic techniques based on elliptic curves – Part 2: Digital signatures. 2002.</w:t>
            </w:r>
            <w:r w:rsidRPr="001E55F9">
              <w:rPr>
                <w:rFonts w:ascii="Garamond" w:eastAsia="Times New Roman" w:hAnsi="Garamond" w:cs="Times New Roman"/>
                <w:color w:val="000000"/>
                <w:kern w:val="0"/>
                <w14:ligatures w14:val="none"/>
              </w:rPr>
              <w:br/>
              <w:t xml:space="preserve">o ISO15946-3 ISO/IEC. 15946-3: Information technology — Security techniques — Cryptographic techniques based on elliptic curves — Part 3: Key establishment. </w:t>
            </w:r>
            <w:r w:rsidRPr="001E55F9">
              <w:rPr>
                <w:rFonts w:ascii="Garamond" w:eastAsia="Times New Roman" w:hAnsi="Garamond" w:cs="Times New Roman"/>
                <w:color w:val="000000"/>
                <w:kern w:val="0"/>
                <w:lang w:val="es-DO"/>
                <w14:ligatures w14:val="none"/>
              </w:rPr>
              <w:t>2002.</w:t>
            </w:r>
            <w:r w:rsidRPr="001E55F9">
              <w:rPr>
                <w:rFonts w:ascii="Garamond" w:eastAsia="Times New Roman" w:hAnsi="Garamond" w:cs="Times New Roman"/>
                <w:color w:val="000000"/>
                <w:kern w:val="0"/>
                <w:lang w:val="es-DO"/>
                <w14:ligatures w14:val="none"/>
              </w:rPr>
              <w:br/>
              <w:t>o El eID debe ser capaz de almacenar certificados x.509 que permitan a los ciudadanos gozar de los servicios de criptografía.</w:t>
            </w:r>
          </w:p>
        </w:tc>
      </w:tr>
      <w:tr w:rsidR="0072538A" w:rsidRPr="001E55F9" w14:paraId="6AF80FCA" w14:textId="77777777" w:rsidTr="001E55F9">
        <w:trPr>
          <w:trHeight w:val="288"/>
          <w:jc w:val="center"/>
        </w:trPr>
        <w:tc>
          <w:tcPr>
            <w:tcW w:w="1052" w:type="dxa"/>
            <w:shd w:val="clear" w:color="auto" w:fill="auto"/>
            <w:vAlign w:val="center"/>
            <w:hideMark/>
          </w:tcPr>
          <w:p w14:paraId="7ED7E38F"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1.7.6.10</w:t>
            </w:r>
          </w:p>
        </w:tc>
        <w:tc>
          <w:tcPr>
            <w:tcW w:w="8303" w:type="dxa"/>
            <w:shd w:val="clear" w:color="auto" w:fill="auto"/>
            <w:vAlign w:val="center"/>
            <w:hideMark/>
          </w:tcPr>
          <w:p w14:paraId="3B41EB99" w14:textId="77777777"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Condiciones de acceso independientes para cada clave/elemento.</w:t>
            </w:r>
          </w:p>
        </w:tc>
      </w:tr>
      <w:tr w:rsidR="0072538A" w:rsidRPr="001E55F9" w14:paraId="2207BE7A" w14:textId="77777777" w:rsidTr="001E55F9">
        <w:trPr>
          <w:trHeight w:val="288"/>
          <w:jc w:val="center"/>
        </w:trPr>
        <w:tc>
          <w:tcPr>
            <w:tcW w:w="1052" w:type="dxa"/>
            <w:shd w:val="clear" w:color="000000" w:fill="D9D9D9"/>
            <w:vAlign w:val="center"/>
            <w:hideMark/>
          </w:tcPr>
          <w:p w14:paraId="4982B5F6" w14:textId="77777777" w:rsidR="0072538A" w:rsidRPr="001E55F9" w:rsidRDefault="0072538A" w:rsidP="001E55F9">
            <w:pPr>
              <w:spacing w:after="0" w:line="240" w:lineRule="auto"/>
              <w:jc w:val="center"/>
              <w:rPr>
                <w:rFonts w:ascii="Garamond" w:eastAsia="Times New Roman" w:hAnsi="Garamond" w:cs="Times New Roman"/>
                <w:b/>
                <w:bCs/>
                <w:color w:val="000000"/>
                <w:kern w:val="0"/>
                <w14:ligatures w14:val="none"/>
              </w:rPr>
            </w:pPr>
            <w:r w:rsidRPr="001E55F9">
              <w:rPr>
                <w:rFonts w:ascii="Garamond" w:eastAsia="Times New Roman" w:hAnsi="Garamond" w:cs="Times New Roman"/>
                <w:b/>
                <w:bCs/>
                <w:color w:val="000000"/>
                <w:kern w:val="0"/>
                <w14:ligatures w14:val="none"/>
              </w:rPr>
              <w:t>2.1</w:t>
            </w:r>
          </w:p>
        </w:tc>
        <w:tc>
          <w:tcPr>
            <w:tcW w:w="8303" w:type="dxa"/>
            <w:shd w:val="clear" w:color="000000" w:fill="D9D9D9"/>
            <w:vAlign w:val="center"/>
            <w:hideMark/>
          </w:tcPr>
          <w:p w14:paraId="368B88B1" w14:textId="3C69C192" w:rsidR="0072538A" w:rsidRPr="001E55F9" w:rsidRDefault="0072538A" w:rsidP="001E55F9">
            <w:pPr>
              <w:spacing w:after="0" w:line="240" w:lineRule="auto"/>
              <w:jc w:val="both"/>
              <w:rPr>
                <w:rFonts w:ascii="Garamond" w:eastAsia="Times New Roman" w:hAnsi="Garamond" w:cs="Times New Roman"/>
                <w:b/>
                <w:bCs/>
                <w:color w:val="000000"/>
                <w:kern w:val="0"/>
                <w:lang w:val="es-DO"/>
                <w14:ligatures w14:val="none"/>
              </w:rPr>
            </w:pPr>
            <w:r w:rsidRPr="001E55F9">
              <w:rPr>
                <w:rFonts w:ascii="Garamond" w:eastAsia="Times New Roman" w:hAnsi="Garamond" w:cs="Times New Roman"/>
                <w:b/>
                <w:bCs/>
                <w:color w:val="000000"/>
                <w:kern w:val="0"/>
                <w:lang w:val="es-DO"/>
                <w14:ligatures w14:val="none"/>
              </w:rPr>
              <w:t xml:space="preserve">Especificaciones de </w:t>
            </w:r>
            <w:r w:rsidR="00E63D20" w:rsidRPr="001E55F9">
              <w:rPr>
                <w:rFonts w:ascii="Garamond" w:eastAsia="Times New Roman" w:hAnsi="Garamond" w:cs="Times New Roman"/>
                <w:b/>
                <w:bCs/>
                <w:color w:val="000000"/>
                <w:kern w:val="0"/>
                <w:lang w:val="es-DO"/>
                <w14:ligatures w14:val="none"/>
              </w:rPr>
              <w:t>máquinas</w:t>
            </w:r>
            <w:r w:rsidRPr="001E55F9">
              <w:rPr>
                <w:rFonts w:ascii="Garamond" w:eastAsia="Times New Roman" w:hAnsi="Garamond" w:cs="Times New Roman"/>
                <w:b/>
                <w:bCs/>
                <w:color w:val="000000"/>
                <w:kern w:val="0"/>
                <w:lang w:val="es-DO"/>
                <w14:ligatures w14:val="none"/>
              </w:rPr>
              <w:t xml:space="preserve"> de impresión</w:t>
            </w:r>
          </w:p>
        </w:tc>
      </w:tr>
      <w:tr w:rsidR="0072538A" w:rsidRPr="001E55F9" w14:paraId="10E7DA26" w14:textId="77777777" w:rsidTr="001E55F9">
        <w:trPr>
          <w:trHeight w:val="288"/>
          <w:jc w:val="center"/>
        </w:trPr>
        <w:tc>
          <w:tcPr>
            <w:tcW w:w="1052" w:type="dxa"/>
            <w:shd w:val="clear" w:color="auto" w:fill="auto"/>
            <w:vAlign w:val="center"/>
            <w:hideMark/>
          </w:tcPr>
          <w:p w14:paraId="1E230F6F"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2.1.13</w:t>
            </w:r>
          </w:p>
        </w:tc>
        <w:tc>
          <w:tcPr>
            <w:tcW w:w="8303" w:type="dxa"/>
            <w:shd w:val="clear" w:color="auto" w:fill="auto"/>
            <w:vAlign w:val="center"/>
            <w:hideMark/>
          </w:tcPr>
          <w:p w14:paraId="4213E93E" w14:textId="0A46F21D"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xml:space="preserve">La </w:t>
            </w:r>
            <w:r w:rsidR="00E63D20" w:rsidRPr="001E55F9">
              <w:rPr>
                <w:rFonts w:ascii="Garamond" w:eastAsia="Times New Roman" w:hAnsi="Garamond" w:cs="Times New Roman"/>
                <w:color w:val="000000"/>
                <w:kern w:val="0"/>
                <w:lang w:val="es-DO"/>
                <w14:ligatures w14:val="none"/>
              </w:rPr>
              <w:t>máquina</w:t>
            </w:r>
            <w:r w:rsidRPr="001E55F9">
              <w:rPr>
                <w:rFonts w:ascii="Garamond" w:eastAsia="Times New Roman" w:hAnsi="Garamond" w:cs="Times New Roman"/>
                <w:color w:val="000000"/>
                <w:kern w:val="0"/>
                <w:lang w:val="es-DO"/>
                <w14:ligatures w14:val="none"/>
              </w:rPr>
              <w:t xml:space="preserve"> debe tener su propio PC integrado con su propio sistema operativo y software de la </w:t>
            </w:r>
            <w:r w:rsidR="00E63D20" w:rsidRPr="001E55F9">
              <w:rPr>
                <w:rFonts w:ascii="Garamond" w:eastAsia="Times New Roman" w:hAnsi="Garamond" w:cs="Times New Roman"/>
                <w:color w:val="000000"/>
                <w:kern w:val="0"/>
                <w:lang w:val="es-DO"/>
                <w14:ligatures w14:val="none"/>
              </w:rPr>
              <w:t>máquina</w:t>
            </w:r>
            <w:r w:rsidRPr="001E55F9">
              <w:rPr>
                <w:rFonts w:ascii="Garamond" w:eastAsia="Times New Roman" w:hAnsi="Garamond" w:cs="Times New Roman"/>
                <w:color w:val="000000"/>
                <w:kern w:val="0"/>
                <w:lang w:val="es-DO"/>
                <w14:ligatures w14:val="none"/>
              </w:rPr>
              <w:t>.</w:t>
            </w:r>
          </w:p>
        </w:tc>
      </w:tr>
      <w:tr w:rsidR="0072538A" w:rsidRPr="001E55F9" w14:paraId="7671FFD5" w14:textId="77777777" w:rsidTr="001E55F9">
        <w:trPr>
          <w:trHeight w:val="288"/>
          <w:jc w:val="center"/>
        </w:trPr>
        <w:tc>
          <w:tcPr>
            <w:tcW w:w="1052" w:type="dxa"/>
            <w:shd w:val="clear" w:color="auto" w:fill="auto"/>
            <w:vAlign w:val="center"/>
            <w:hideMark/>
          </w:tcPr>
          <w:p w14:paraId="29A8A97D"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2.1.14</w:t>
            </w:r>
          </w:p>
        </w:tc>
        <w:tc>
          <w:tcPr>
            <w:tcW w:w="8303" w:type="dxa"/>
            <w:shd w:val="clear" w:color="auto" w:fill="auto"/>
            <w:vAlign w:val="center"/>
            <w:hideMark/>
          </w:tcPr>
          <w:p w14:paraId="467AF767" w14:textId="77777777"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El sistema operativo de la PC debe ser WINDOWS. Las impresoras pueden ser WINDOWS o LINUX.</w:t>
            </w:r>
          </w:p>
        </w:tc>
      </w:tr>
      <w:tr w:rsidR="0072538A" w:rsidRPr="001E55F9" w14:paraId="118D44CD" w14:textId="77777777" w:rsidTr="001E55F9">
        <w:trPr>
          <w:trHeight w:val="1152"/>
          <w:jc w:val="center"/>
        </w:trPr>
        <w:tc>
          <w:tcPr>
            <w:tcW w:w="1052" w:type="dxa"/>
            <w:shd w:val="clear" w:color="auto" w:fill="auto"/>
            <w:vAlign w:val="center"/>
            <w:hideMark/>
          </w:tcPr>
          <w:p w14:paraId="0E709148"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2.1.22</w:t>
            </w:r>
          </w:p>
        </w:tc>
        <w:tc>
          <w:tcPr>
            <w:tcW w:w="8303" w:type="dxa"/>
            <w:shd w:val="clear" w:color="auto" w:fill="auto"/>
            <w:vAlign w:val="center"/>
            <w:hideMark/>
          </w:tcPr>
          <w:p w14:paraId="0F823739" w14:textId="1E2421EC" w:rsidR="001E55F9"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xml:space="preserve">La calidad de las impresoras debe mantenerse a lo largo de los diez </w:t>
            </w:r>
            <w:r w:rsidR="00E63D20" w:rsidRPr="001E55F9">
              <w:rPr>
                <w:rFonts w:ascii="Garamond" w:eastAsia="Times New Roman" w:hAnsi="Garamond" w:cs="Times New Roman"/>
                <w:color w:val="000000"/>
                <w:kern w:val="0"/>
                <w:lang w:val="es-DO"/>
                <w14:ligatures w14:val="none"/>
              </w:rPr>
              <w:t>años</w:t>
            </w:r>
            <w:r w:rsidRPr="001E55F9">
              <w:rPr>
                <w:rFonts w:ascii="Garamond" w:eastAsia="Times New Roman" w:hAnsi="Garamond" w:cs="Times New Roman"/>
                <w:color w:val="000000"/>
                <w:kern w:val="0"/>
                <w:lang w:val="es-DO"/>
                <w14:ligatures w14:val="none"/>
              </w:rPr>
              <w:t xml:space="preserve"> de la </w:t>
            </w:r>
            <w:r w:rsidR="00E63D20" w:rsidRPr="001E55F9">
              <w:rPr>
                <w:rFonts w:ascii="Garamond" w:eastAsia="Times New Roman" w:hAnsi="Garamond" w:cs="Times New Roman"/>
                <w:color w:val="000000"/>
                <w:kern w:val="0"/>
                <w:lang w:val="es-DO"/>
                <w14:ligatures w14:val="none"/>
              </w:rPr>
              <w:t>contratación</w:t>
            </w:r>
            <w:r w:rsidRPr="001E55F9">
              <w:rPr>
                <w:rFonts w:ascii="Garamond" w:eastAsia="Times New Roman" w:hAnsi="Garamond" w:cs="Times New Roman"/>
                <w:color w:val="000000"/>
                <w:kern w:val="0"/>
                <w:lang w:val="es-DO"/>
                <w14:ligatures w14:val="none"/>
              </w:rPr>
              <w:t xml:space="preserve">. </w:t>
            </w:r>
            <w:r w:rsidR="00E63D20" w:rsidRPr="001E55F9">
              <w:rPr>
                <w:rFonts w:ascii="Garamond" w:eastAsia="Times New Roman" w:hAnsi="Garamond" w:cs="Times New Roman"/>
                <w:color w:val="000000"/>
                <w:kern w:val="0"/>
                <w:lang w:val="es-DO"/>
                <w14:ligatures w14:val="none"/>
              </w:rPr>
              <w:t>Tendrán</w:t>
            </w:r>
            <w:r w:rsidRPr="001E55F9">
              <w:rPr>
                <w:rFonts w:ascii="Garamond" w:eastAsia="Times New Roman" w:hAnsi="Garamond" w:cs="Times New Roman"/>
                <w:color w:val="000000"/>
                <w:kern w:val="0"/>
                <w:lang w:val="es-DO"/>
                <w14:ligatures w14:val="none"/>
              </w:rPr>
              <w:t xml:space="preserve"> </w:t>
            </w:r>
            <w:r w:rsidR="00E63D20" w:rsidRPr="001E55F9">
              <w:rPr>
                <w:rFonts w:ascii="Garamond" w:eastAsia="Times New Roman" w:hAnsi="Garamond" w:cs="Times New Roman"/>
                <w:color w:val="000000"/>
                <w:kern w:val="0"/>
                <w:lang w:val="es-DO"/>
                <w14:ligatures w14:val="none"/>
              </w:rPr>
              <w:t>garantía</w:t>
            </w:r>
            <w:r w:rsidRPr="001E55F9">
              <w:rPr>
                <w:rFonts w:ascii="Garamond" w:eastAsia="Times New Roman" w:hAnsi="Garamond" w:cs="Times New Roman"/>
                <w:color w:val="000000"/>
                <w:kern w:val="0"/>
                <w:lang w:val="es-DO"/>
                <w14:ligatures w14:val="none"/>
              </w:rPr>
              <w:t xml:space="preserve"> </w:t>
            </w:r>
            <w:r w:rsidR="00E63D20" w:rsidRPr="001E55F9">
              <w:rPr>
                <w:rFonts w:ascii="Garamond" w:eastAsia="Times New Roman" w:hAnsi="Garamond" w:cs="Times New Roman"/>
                <w:color w:val="000000"/>
                <w:kern w:val="0"/>
                <w:lang w:val="es-DO"/>
                <w14:ligatures w14:val="none"/>
              </w:rPr>
              <w:t>mínima</w:t>
            </w:r>
            <w:r w:rsidRPr="001E55F9">
              <w:rPr>
                <w:rFonts w:ascii="Garamond" w:eastAsia="Times New Roman" w:hAnsi="Garamond" w:cs="Times New Roman"/>
                <w:color w:val="000000"/>
                <w:kern w:val="0"/>
                <w:lang w:val="es-DO"/>
                <w14:ligatures w14:val="none"/>
              </w:rPr>
              <w:t xml:space="preserve"> por dos (2) </w:t>
            </w:r>
            <w:r w:rsidR="00E63D20" w:rsidRPr="001E55F9">
              <w:rPr>
                <w:rFonts w:ascii="Garamond" w:eastAsia="Times New Roman" w:hAnsi="Garamond" w:cs="Times New Roman"/>
                <w:color w:val="000000"/>
                <w:kern w:val="0"/>
                <w:lang w:val="es-DO"/>
                <w14:ligatures w14:val="none"/>
              </w:rPr>
              <w:t>años</w:t>
            </w:r>
            <w:r w:rsidRPr="001E55F9">
              <w:rPr>
                <w:rFonts w:ascii="Garamond" w:eastAsia="Times New Roman" w:hAnsi="Garamond" w:cs="Times New Roman"/>
                <w:color w:val="000000"/>
                <w:kern w:val="0"/>
                <w:lang w:val="es-DO"/>
                <w14:ligatures w14:val="none"/>
              </w:rPr>
              <w:t xml:space="preserve">. Cada oferente, debe indicar en su propuesta, la vida </w:t>
            </w:r>
            <w:r w:rsidR="00E63D20" w:rsidRPr="001E55F9">
              <w:rPr>
                <w:rFonts w:ascii="Garamond" w:eastAsia="Times New Roman" w:hAnsi="Garamond" w:cs="Times New Roman"/>
                <w:color w:val="000000"/>
                <w:kern w:val="0"/>
                <w:lang w:val="es-DO"/>
                <w14:ligatures w14:val="none"/>
              </w:rPr>
              <w:t>útil</w:t>
            </w:r>
            <w:r w:rsidRPr="001E55F9">
              <w:rPr>
                <w:rFonts w:ascii="Garamond" w:eastAsia="Times New Roman" w:hAnsi="Garamond" w:cs="Times New Roman"/>
                <w:color w:val="000000"/>
                <w:kern w:val="0"/>
                <w:lang w:val="es-DO"/>
                <w14:ligatures w14:val="none"/>
              </w:rPr>
              <w:t xml:space="preserve"> de las piezas de cada impresora que produce el </w:t>
            </w:r>
            <w:r w:rsidR="00E63D20" w:rsidRPr="001E55F9">
              <w:rPr>
                <w:rFonts w:ascii="Garamond" w:eastAsia="Times New Roman" w:hAnsi="Garamond" w:cs="Times New Roman"/>
                <w:color w:val="000000"/>
                <w:kern w:val="0"/>
                <w:lang w:val="es-DO"/>
                <w14:ligatures w14:val="none"/>
              </w:rPr>
              <w:t>láser</w:t>
            </w:r>
            <w:r w:rsidRPr="001E55F9">
              <w:rPr>
                <w:rFonts w:ascii="Garamond" w:eastAsia="Times New Roman" w:hAnsi="Garamond" w:cs="Times New Roman"/>
                <w:color w:val="000000"/>
                <w:kern w:val="0"/>
                <w:lang w:val="es-DO"/>
                <w14:ligatures w14:val="none"/>
              </w:rPr>
              <w:t xml:space="preserve"> y queda comprometido a que su </w:t>
            </w:r>
            <w:r w:rsidR="00E63D20" w:rsidRPr="001E55F9">
              <w:rPr>
                <w:rFonts w:ascii="Garamond" w:eastAsia="Times New Roman" w:hAnsi="Garamond" w:cs="Times New Roman"/>
                <w:color w:val="000000"/>
                <w:kern w:val="0"/>
                <w:lang w:val="es-DO"/>
                <w14:ligatures w14:val="none"/>
              </w:rPr>
              <w:t>solución</w:t>
            </w:r>
            <w:r w:rsidRPr="001E55F9">
              <w:rPr>
                <w:rFonts w:ascii="Garamond" w:eastAsia="Times New Roman" w:hAnsi="Garamond" w:cs="Times New Roman"/>
                <w:color w:val="000000"/>
                <w:kern w:val="0"/>
                <w:lang w:val="es-DO"/>
                <w14:ligatures w14:val="none"/>
              </w:rPr>
              <w:t xml:space="preserve"> de </w:t>
            </w:r>
            <w:r w:rsidR="00E63D20" w:rsidRPr="001E55F9">
              <w:rPr>
                <w:rFonts w:ascii="Garamond" w:eastAsia="Times New Roman" w:hAnsi="Garamond" w:cs="Times New Roman"/>
                <w:color w:val="000000"/>
                <w:kern w:val="0"/>
                <w:lang w:val="es-DO"/>
                <w14:ligatures w14:val="none"/>
              </w:rPr>
              <w:t>impresión</w:t>
            </w:r>
            <w:r w:rsidRPr="001E55F9">
              <w:rPr>
                <w:rFonts w:ascii="Garamond" w:eastAsia="Times New Roman" w:hAnsi="Garamond" w:cs="Times New Roman"/>
                <w:color w:val="000000"/>
                <w:kern w:val="0"/>
                <w:lang w:val="es-DO"/>
                <w14:ligatures w14:val="none"/>
              </w:rPr>
              <w:t xml:space="preserve"> </w:t>
            </w:r>
            <w:r w:rsidR="00E63D20" w:rsidRPr="001E55F9">
              <w:rPr>
                <w:rFonts w:ascii="Garamond" w:eastAsia="Times New Roman" w:hAnsi="Garamond" w:cs="Times New Roman"/>
                <w:color w:val="000000"/>
                <w:kern w:val="0"/>
                <w:lang w:val="es-DO"/>
                <w14:ligatures w14:val="none"/>
              </w:rPr>
              <w:t>mantendrá</w:t>
            </w:r>
            <w:r w:rsidRPr="001E55F9">
              <w:rPr>
                <w:rFonts w:ascii="Garamond" w:eastAsia="Times New Roman" w:hAnsi="Garamond" w:cs="Times New Roman"/>
                <w:color w:val="000000"/>
                <w:kern w:val="0"/>
                <w:lang w:val="es-DO"/>
                <w14:ligatures w14:val="none"/>
              </w:rPr>
              <w:t xml:space="preserve">́ la calidad de las impresoras durante todo el tiempo que lo exige el contrato, </w:t>
            </w:r>
            <w:r w:rsidR="00E63D20" w:rsidRPr="001E55F9">
              <w:rPr>
                <w:rFonts w:ascii="Garamond" w:eastAsia="Times New Roman" w:hAnsi="Garamond" w:cs="Times New Roman"/>
                <w:color w:val="000000"/>
                <w:kern w:val="0"/>
                <w:lang w:val="es-DO"/>
                <w14:ligatures w14:val="none"/>
              </w:rPr>
              <w:t>obligándose</w:t>
            </w:r>
            <w:r w:rsidRPr="001E55F9">
              <w:rPr>
                <w:rFonts w:ascii="Garamond" w:eastAsia="Times New Roman" w:hAnsi="Garamond" w:cs="Times New Roman"/>
                <w:color w:val="000000"/>
                <w:kern w:val="0"/>
                <w:lang w:val="es-DO"/>
                <w14:ligatures w14:val="none"/>
              </w:rPr>
              <w:t xml:space="preserve"> a reemplazar lo necesario y las veces que sea conveniente para cumplir con esta exigencia de calidad de las impresoras.</w:t>
            </w:r>
          </w:p>
        </w:tc>
      </w:tr>
      <w:tr w:rsidR="0072538A" w:rsidRPr="001E55F9" w14:paraId="578DA0F2" w14:textId="77777777" w:rsidTr="001E55F9">
        <w:trPr>
          <w:trHeight w:val="2592"/>
          <w:jc w:val="center"/>
        </w:trPr>
        <w:tc>
          <w:tcPr>
            <w:tcW w:w="1052" w:type="dxa"/>
            <w:shd w:val="clear" w:color="auto" w:fill="auto"/>
            <w:vAlign w:val="center"/>
            <w:hideMark/>
          </w:tcPr>
          <w:p w14:paraId="73951DB3"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lastRenderedPageBreak/>
              <w:t>2.1.23</w:t>
            </w:r>
          </w:p>
        </w:tc>
        <w:tc>
          <w:tcPr>
            <w:tcW w:w="8303" w:type="dxa"/>
            <w:shd w:val="clear" w:color="auto" w:fill="auto"/>
            <w:vAlign w:val="center"/>
            <w:hideMark/>
          </w:tcPr>
          <w:p w14:paraId="3AA142D4" w14:textId="706499D3" w:rsidR="0072538A" w:rsidRPr="001E55F9" w:rsidRDefault="0072538A" w:rsidP="001E55F9">
            <w:pPr>
              <w:spacing w:after="0" w:line="240" w:lineRule="auto"/>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xml:space="preserve">Los equipos </w:t>
            </w:r>
            <w:r w:rsidR="00E63D20" w:rsidRPr="001E55F9">
              <w:rPr>
                <w:rFonts w:ascii="Garamond" w:eastAsia="Times New Roman" w:hAnsi="Garamond" w:cs="Times New Roman"/>
                <w:color w:val="000000"/>
                <w:kern w:val="0"/>
                <w:lang w:val="es-DO"/>
                <w14:ligatures w14:val="none"/>
              </w:rPr>
              <w:t>deberán</w:t>
            </w:r>
            <w:r w:rsidRPr="001E55F9">
              <w:rPr>
                <w:rFonts w:ascii="Garamond" w:eastAsia="Times New Roman" w:hAnsi="Garamond" w:cs="Times New Roman"/>
                <w:color w:val="000000"/>
                <w:kern w:val="0"/>
                <w:lang w:val="es-DO"/>
                <w14:ligatures w14:val="none"/>
              </w:rPr>
              <w:t xml:space="preserve"> disponer de un control de calidad y registrar los eventos identificados, garantizando:</w:t>
            </w:r>
            <w:r w:rsidRPr="001E55F9">
              <w:rPr>
                <w:rFonts w:ascii="Garamond" w:eastAsia="Times New Roman" w:hAnsi="Garamond" w:cs="Times New Roman"/>
                <w:color w:val="000000"/>
                <w:kern w:val="0"/>
                <w:lang w:val="es-DO"/>
                <w14:ligatures w14:val="none"/>
              </w:rPr>
              <w:br/>
              <w:t xml:space="preserve">- </w:t>
            </w:r>
            <w:r w:rsidR="00E63D20" w:rsidRPr="001E55F9">
              <w:rPr>
                <w:rFonts w:ascii="Garamond" w:eastAsia="Times New Roman" w:hAnsi="Garamond" w:cs="Times New Roman"/>
                <w:color w:val="000000"/>
                <w:kern w:val="0"/>
                <w:lang w:val="es-DO"/>
                <w14:ligatures w14:val="none"/>
              </w:rPr>
              <w:t>Evaluación</w:t>
            </w:r>
            <w:r w:rsidRPr="001E55F9">
              <w:rPr>
                <w:rFonts w:ascii="Garamond" w:eastAsia="Times New Roman" w:hAnsi="Garamond" w:cs="Times New Roman"/>
                <w:color w:val="000000"/>
                <w:kern w:val="0"/>
                <w:lang w:val="es-DO"/>
                <w14:ligatures w14:val="none"/>
              </w:rPr>
              <w:t xml:space="preserve"> de funcionamiento del chip antes de su </w:t>
            </w:r>
            <w:r w:rsidR="00E63D20" w:rsidRPr="001E55F9">
              <w:rPr>
                <w:rFonts w:ascii="Garamond" w:eastAsia="Times New Roman" w:hAnsi="Garamond" w:cs="Times New Roman"/>
                <w:color w:val="000000"/>
                <w:kern w:val="0"/>
                <w:lang w:val="es-DO"/>
                <w14:ligatures w14:val="none"/>
              </w:rPr>
              <w:t>personalización</w:t>
            </w:r>
            <w:r w:rsidRPr="001E55F9">
              <w:rPr>
                <w:rFonts w:ascii="Garamond" w:eastAsia="Times New Roman" w:hAnsi="Garamond" w:cs="Times New Roman"/>
                <w:color w:val="000000"/>
                <w:kern w:val="0"/>
                <w:lang w:val="es-DO"/>
                <w14:ligatures w14:val="none"/>
              </w:rPr>
              <w:t>.</w:t>
            </w:r>
            <w:r w:rsidRPr="001E55F9">
              <w:rPr>
                <w:rFonts w:ascii="Garamond" w:eastAsia="Times New Roman" w:hAnsi="Garamond" w:cs="Times New Roman"/>
                <w:color w:val="000000"/>
                <w:kern w:val="0"/>
                <w:lang w:val="es-DO"/>
                <w14:ligatures w14:val="none"/>
              </w:rPr>
              <w:br/>
              <w:t xml:space="preserve">- Correcto grabado del chip </w:t>
            </w:r>
            <w:r w:rsidR="00E63D20" w:rsidRPr="001E55F9">
              <w:rPr>
                <w:rFonts w:ascii="Garamond" w:eastAsia="Times New Roman" w:hAnsi="Garamond" w:cs="Times New Roman"/>
                <w:color w:val="000000"/>
                <w:kern w:val="0"/>
                <w:lang w:val="es-DO"/>
                <w14:ligatures w14:val="none"/>
              </w:rPr>
              <w:t>después</w:t>
            </w:r>
            <w:r w:rsidRPr="001E55F9">
              <w:rPr>
                <w:rFonts w:ascii="Garamond" w:eastAsia="Times New Roman" w:hAnsi="Garamond" w:cs="Times New Roman"/>
                <w:color w:val="000000"/>
                <w:kern w:val="0"/>
                <w:lang w:val="es-DO"/>
                <w14:ligatures w14:val="none"/>
              </w:rPr>
              <w:t xml:space="preserve"> de su </w:t>
            </w:r>
            <w:r w:rsidR="00E63D20" w:rsidRPr="001E55F9">
              <w:rPr>
                <w:rFonts w:ascii="Garamond" w:eastAsia="Times New Roman" w:hAnsi="Garamond" w:cs="Times New Roman"/>
                <w:color w:val="000000"/>
                <w:kern w:val="0"/>
                <w:lang w:val="es-DO"/>
                <w14:ligatures w14:val="none"/>
              </w:rPr>
              <w:t>personalización</w:t>
            </w:r>
            <w:r w:rsidRPr="001E55F9">
              <w:rPr>
                <w:rFonts w:ascii="Garamond" w:eastAsia="Times New Roman" w:hAnsi="Garamond" w:cs="Times New Roman"/>
                <w:color w:val="000000"/>
                <w:kern w:val="0"/>
                <w:lang w:val="es-DO"/>
                <w14:ligatures w14:val="none"/>
              </w:rPr>
              <w:t>.</w:t>
            </w:r>
            <w:r w:rsidRPr="001E55F9">
              <w:rPr>
                <w:rFonts w:ascii="Garamond" w:eastAsia="Times New Roman" w:hAnsi="Garamond" w:cs="Times New Roman"/>
                <w:color w:val="000000"/>
                <w:kern w:val="0"/>
                <w:lang w:val="es-DO"/>
                <w14:ligatures w14:val="none"/>
              </w:rPr>
              <w:br/>
              <w:t xml:space="preserve">- Control de </w:t>
            </w:r>
            <w:r w:rsidR="00E63D20" w:rsidRPr="001E55F9">
              <w:rPr>
                <w:rFonts w:ascii="Garamond" w:eastAsia="Times New Roman" w:hAnsi="Garamond" w:cs="Times New Roman"/>
                <w:color w:val="000000"/>
                <w:kern w:val="0"/>
                <w:lang w:val="es-DO"/>
                <w14:ligatures w14:val="none"/>
              </w:rPr>
              <w:t>información</w:t>
            </w:r>
            <w:r w:rsidRPr="001E55F9">
              <w:rPr>
                <w:rFonts w:ascii="Garamond" w:eastAsia="Times New Roman" w:hAnsi="Garamond" w:cs="Times New Roman"/>
                <w:color w:val="000000"/>
                <w:kern w:val="0"/>
                <w:lang w:val="es-DO"/>
                <w14:ligatures w14:val="none"/>
              </w:rPr>
              <w:t xml:space="preserve"> grabada durante la </w:t>
            </w:r>
            <w:r w:rsidR="00E63D20" w:rsidRPr="001E55F9">
              <w:rPr>
                <w:rFonts w:ascii="Garamond" w:eastAsia="Times New Roman" w:hAnsi="Garamond" w:cs="Times New Roman"/>
                <w:color w:val="000000"/>
                <w:kern w:val="0"/>
                <w:lang w:val="es-DO"/>
                <w14:ligatures w14:val="none"/>
              </w:rPr>
              <w:t>personalización</w:t>
            </w:r>
            <w:r w:rsidRPr="001E55F9">
              <w:rPr>
                <w:rFonts w:ascii="Garamond" w:eastAsia="Times New Roman" w:hAnsi="Garamond" w:cs="Times New Roman"/>
                <w:color w:val="000000"/>
                <w:kern w:val="0"/>
                <w:lang w:val="es-DO"/>
                <w14:ligatures w14:val="none"/>
              </w:rPr>
              <w:t xml:space="preserve"> de la tarjeta de policarbonato.</w:t>
            </w:r>
            <w:r w:rsidRPr="001E55F9">
              <w:rPr>
                <w:rFonts w:ascii="Garamond" w:eastAsia="Times New Roman" w:hAnsi="Garamond" w:cs="Times New Roman"/>
                <w:color w:val="000000"/>
                <w:kern w:val="0"/>
                <w:lang w:val="es-DO"/>
                <w14:ligatures w14:val="none"/>
              </w:rPr>
              <w:br/>
              <w:t xml:space="preserve">- Control de espesor, </w:t>
            </w:r>
            <w:r w:rsidR="00E63D20" w:rsidRPr="001E55F9">
              <w:rPr>
                <w:rFonts w:ascii="Garamond" w:eastAsia="Times New Roman" w:hAnsi="Garamond" w:cs="Times New Roman"/>
                <w:color w:val="000000"/>
                <w:kern w:val="0"/>
                <w:lang w:val="es-DO"/>
                <w14:ligatures w14:val="none"/>
              </w:rPr>
              <w:t>orientación</w:t>
            </w:r>
            <w:r w:rsidRPr="001E55F9">
              <w:rPr>
                <w:rFonts w:ascii="Garamond" w:eastAsia="Times New Roman" w:hAnsi="Garamond" w:cs="Times New Roman"/>
                <w:color w:val="000000"/>
                <w:kern w:val="0"/>
                <w:lang w:val="es-DO"/>
                <w14:ligatures w14:val="none"/>
              </w:rPr>
              <w:t xml:space="preserve"> de la tarjeta y referencia.</w:t>
            </w:r>
            <w:r w:rsidRPr="001E55F9">
              <w:rPr>
                <w:rFonts w:ascii="Garamond" w:eastAsia="Times New Roman" w:hAnsi="Garamond" w:cs="Times New Roman"/>
                <w:color w:val="000000"/>
                <w:kern w:val="0"/>
                <w:lang w:val="es-DO"/>
                <w14:ligatures w14:val="none"/>
              </w:rPr>
              <w:br/>
              <w:t>- Control de MRZ (ZLM).</w:t>
            </w:r>
            <w:r w:rsidRPr="001E55F9">
              <w:rPr>
                <w:rFonts w:ascii="Garamond" w:eastAsia="Times New Roman" w:hAnsi="Garamond" w:cs="Times New Roman"/>
                <w:color w:val="000000"/>
                <w:kern w:val="0"/>
                <w:lang w:val="es-DO"/>
                <w14:ligatures w14:val="none"/>
              </w:rPr>
              <w:br/>
              <w:t>- Control de texto.</w:t>
            </w:r>
            <w:r w:rsidRPr="001E55F9">
              <w:rPr>
                <w:rFonts w:ascii="Garamond" w:eastAsia="Times New Roman" w:hAnsi="Garamond" w:cs="Times New Roman"/>
                <w:color w:val="000000"/>
                <w:kern w:val="0"/>
                <w:lang w:val="es-DO"/>
                <w14:ligatures w14:val="none"/>
              </w:rPr>
              <w:br/>
              <w:t>- Control de los datos del chip.</w:t>
            </w:r>
            <w:r w:rsidRPr="001E55F9">
              <w:rPr>
                <w:rFonts w:ascii="Garamond" w:eastAsia="Times New Roman" w:hAnsi="Garamond" w:cs="Times New Roman"/>
                <w:color w:val="000000"/>
                <w:kern w:val="0"/>
                <w:lang w:val="es-DO"/>
                <w14:ligatures w14:val="none"/>
              </w:rPr>
              <w:br/>
              <w:t xml:space="preserve">- Control de los datos </w:t>
            </w:r>
            <w:r w:rsidR="00E63D20" w:rsidRPr="001E55F9">
              <w:rPr>
                <w:rFonts w:ascii="Garamond" w:eastAsia="Times New Roman" w:hAnsi="Garamond" w:cs="Times New Roman"/>
                <w:color w:val="000000"/>
                <w:kern w:val="0"/>
                <w:lang w:val="es-DO"/>
                <w14:ligatures w14:val="none"/>
              </w:rPr>
              <w:t>gráficos</w:t>
            </w:r>
            <w:r w:rsidRPr="001E55F9">
              <w:rPr>
                <w:rFonts w:ascii="Garamond" w:eastAsia="Times New Roman" w:hAnsi="Garamond" w:cs="Times New Roman"/>
                <w:color w:val="000000"/>
                <w:kern w:val="0"/>
                <w:lang w:val="es-DO"/>
                <w14:ligatures w14:val="none"/>
              </w:rPr>
              <w:t>.</w:t>
            </w:r>
          </w:p>
        </w:tc>
      </w:tr>
      <w:tr w:rsidR="0072538A" w:rsidRPr="001E55F9" w14:paraId="500F25DA" w14:textId="77777777" w:rsidTr="001E55F9">
        <w:trPr>
          <w:trHeight w:val="864"/>
          <w:jc w:val="center"/>
        </w:trPr>
        <w:tc>
          <w:tcPr>
            <w:tcW w:w="1052" w:type="dxa"/>
            <w:shd w:val="clear" w:color="auto" w:fill="auto"/>
            <w:vAlign w:val="center"/>
            <w:hideMark/>
          </w:tcPr>
          <w:p w14:paraId="6F644D43"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2.1.24</w:t>
            </w:r>
          </w:p>
        </w:tc>
        <w:tc>
          <w:tcPr>
            <w:tcW w:w="8303" w:type="dxa"/>
            <w:shd w:val="clear" w:color="auto" w:fill="auto"/>
            <w:vAlign w:val="center"/>
            <w:hideMark/>
          </w:tcPr>
          <w:p w14:paraId="75F4EC03" w14:textId="453B2522"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xml:space="preserve">El proveedor deberá incluir 230 lectores de chip sin contacto, y poner como opcional, la compra de lectores de forma individual. La </w:t>
            </w:r>
            <w:r w:rsidR="00E63D20" w:rsidRPr="001E55F9">
              <w:rPr>
                <w:rFonts w:ascii="Garamond" w:eastAsia="Times New Roman" w:hAnsi="Garamond" w:cs="Times New Roman"/>
                <w:color w:val="000000"/>
                <w:kern w:val="0"/>
                <w:lang w:val="es-DO"/>
                <w14:ligatures w14:val="none"/>
              </w:rPr>
              <w:t>características</w:t>
            </w:r>
            <w:r w:rsidRPr="001E55F9">
              <w:rPr>
                <w:rFonts w:ascii="Garamond" w:eastAsia="Times New Roman" w:hAnsi="Garamond" w:cs="Times New Roman"/>
                <w:color w:val="000000"/>
                <w:kern w:val="0"/>
                <w:lang w:val="es-DO"/>
                <w14:ligatures w14:val="none"/>
              </w:rPr>
              <w:t xml:space="preserve"> del lector de tarjetas debe ser Lector para NFC Compatible con ISO 14443 Tipo A, Tipo B y Tarjetas Mifare 1k&amp;4k, ICAO 9303 con interoperabilidad OACI DOC 9303, ISO18013, PA, AA, BAC, EAC , SAC.</w:t>
            </w:r>
          </w:p>
        </w:tc>
      </w:tr>
      <w:tr w:rsidR="0072538A" w:rsidRPr="001E55F9" w14:paraId="10F3B069" w14:textId="77777777" w:rsidTr="001E55F9">
        <w:trPr>
          <w:trHeight w:val="288"/>
          <w:jc w:val="center"/>
        </w:trPr>
        <w:tc>
          <w:tcPr>
            <w:tcW w:w="1052" w:type="dxa"/>
            <w:shd w:val="clear" w:color="000000" w:fill="D9D9D9"/>
            <w:vAlign w:val="center"/>
            <w:hideMark/>
          </w:tcPr>
          <w:p w14:paraId="702BF249" w14:textId="77777777" w:rsidR="0072538A" w:rsidRPr="001E55F9" w:rsidRDefault="0072538A" w:rsidP="001E55F9">
            <w:pPr>
              <w:spacing w:after="0" w:line="240" w:lineRule="auto"/>
              <w:jc w:val="center"/>
              <w:rPr>
                <w:rFonts w:ascii="Garamond" w:eastAsia="Times New Roman" w:hAnsi="Garamond" w:cs="Times New Roman"/>
                <w:b/>
                <w:bCs/>
                <w:color w:val="000000"/>
                <w:kern w:val="0"/>
                <w14:ligatures w14:val="none"/>
              </w:rPr>
            </w:pPr>
            <w:r w:rsidRPr="001E55F9">
              <w:rPr>
                <w:rFonts w:ascii="Garamond" w:eastAsia="Times New Roman" w:hAnsi="Garamond" w:cs="Times New Roman"/>
                <w:b/>
                <w:bCs/>
                <w:color w:val="000000"/>
                <w:kern w:val="0"/>
                <w14:ligatures w14:val="none"/>
              </w:rPr>
              <w:t>2.2</w:t>
            </w:r>
          </w:p>
        </w:tc>
        <w:tc>
          <w:tcPr>
            <w:tcW w:w="8303" w:type="dxa"/>
            <w:shd w:val="clear" w:color="000000" w:fill="D9D9D9"/>
            <w:vAlign w:val="center"/>
            <w:hideMark/>
          </w:tcPr>
          <w:p w14:paraId="60FACF68" w14:textId="77777777" w:rsidR="0072538A" w:rsidRPr="001E55F9" w:rsidRDefault="0072538A" w:rsidP="001E55F9">
            <w:pPr>
              <w:spacing w:after="0" w:line="240" w:lineRule="auto"/>
              <w:jc w:val="both"/>
              <w:rPr>
                <w:rFonts w:ascii="Garamond" w:eastAsia="Times New Roman" w:hAnsi="Garamond" w:cs="Times New Roman"/>
                <w:b/>
                <w:bCs/>
                <w:color w:val="000000"/>
                <w:kern w:val="0"/>
                <w14:ligatures w14:val="none"/>
              </w:rPr>
            </w:pPr>
            <w:r w:rsidRPr="001E55F9">
              <w:rPr>
                <w:rFonts w:ascii="Garamond" w:eastAsia="Times New Roman" w:hAnsi="Garamond" w:cs="Times New Roman"/>
                <w:b/>
                <w:bCs/>
                <w:color w:val="000000"/>
                <w:kern w:val="0"/>
                <w14:ligatures w14:val="none"/>
              </w:rPr>
              <w:t>Personalización</w:t>
            </w:r>
          </w:p>
        </w:tc>
      </w:tr>
      <w:tr w:rsidR="0072538A" w:rsidRPr="001E55F9" w14:paraId="5DE24617" w14:textId="77777777" w:rsidTr="001E55F9">
        <w:trPr>
          <w:trHeight w:val="864"/>
          <w:jc w:val="center"/>
        </w:trPr>
        <w:tc>
          <w:tcPr>
            <w:tcW w:w="1052" w:type="dxa"/>
            <w:shd w:val="clear" w:color="auto" w:fill="auto"/>
            <w:vAlign w:val="center"/>
            <w:hideMark/>
          </w:tcPr>
          <w:p w14:paraId="6FC367A3"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2.2.21</w:t>
            </w:r>
          </w:p>
        </w:tc>
        <w:tc>
          <w:tcPr>
            <w:tcW w:w="8303" w:type="dxa"/>
            <w:shd w:val="clear" w:color="auto" w:fill="auto"/>
            <w:vAlign w:val="center"/>
            <w:hideMark/>
          </w:tcPr>
          <w:p w14:paraId="366BBA99" w14:textId="556484D1"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xml:space="preserve">Los sistemas de </w:t>
            </w:r>
            <w:r w:rsidR="00E63D20" w:rsidRPr="001E55F9">
              <w:rPr>
                <w:rFonts w:ascii="Garamond" w:eastAsia="Times New Roman" w:hAnsi="Garamond" w:cs="Times New Roman"/>
                <w:color w:val="000000"/>
                <w:kern w:val="0"/>
                <w:lang w:val="es-DO"/>
                <w14:ligatures w14:val="none"/>
              </w:rPr>
              <w:t>personalización</w:t>
            </w:r>
            <w:r w:rsidRPr="001E55F9">
              <w:rPr>
                <w:rFonts w:ascii="Garamond" w:eastAsia="Times New Roman" w:hAnsi="Garamond" w:cs="Times New Roman"/>
                <w:color w:val="000000"/>
                <w:kern w:val="0"/>
                <w:lang w:val="es-DO"/>
                <w14:ligatures w14:val="none"/>
              </w:rPr>
              <w:t xml:space="preserve"> deben estar equipados con el software interno de </w:t>
            </w:r>
            <w:r w:rsidR="00E63D20" w:rsidRPr="001E55F9">
              <w:rPr>
                <w:rFonts w:ascii="Garamond" w:eastAsia="Times New Roman" w:hAnsi="Garamond" w:cs="Times New Roman"/>
                <w:color w:val="000000"/>
                <w:kern w:val="0"/>
                <w:lang w:val="es-DO"/>
                <w14:ligatures w14:val="none"/>
              </w:rPr>
              <w:t>gestión</w:t>
            </w:r>
            <w:r w:rsidRPr="001E55F9">
              <w:rPr>
                <w:rFonts w:ascii="Garamond" w:eastAsia="Times New Roman" w:hAnsi="Garamond" w:cs="Times New Roman"/>
                <w:color w:val="000000"/>
                <w:kern w:val="0"/>
                <w:lang w:val="es-DO"/>
                <w14:ligatures w14:val="none"/>
              </w:rPr>
              <w:t xml:space="preserve"> de datos, que proporciona interfaces de usuario claras e iguales para la </w:t>
            </w:r>
            <w:r w:rsidR="00E63D20" w:rsidRPr="001E55F9">
              <w:rPr>
                <w:rFonts w:ascii="Garamond" w:eastAsia="Times New Roman" w:hAnsi="Garamond" w:cs="Times New Roman"/>
                <w:color w:val="000000"/>
                <w:kern w:val="0"/>
                <w:lang w:val="es-DO"/>
                <w14:ligatures w14:val="none"/>
              </w:rPr>
              <w:t>integración</w:t>
            </w:r>
            <w:r w:rsidRPr="001E55F9">
              <w:rPr>
                <w:rFonts w:ascii="Garamond" w:eastAsia="Times New Roman" w:hAnsi="Garamond" w:cs="Times New Roman"/>
                <w:color w:val="000000"/>
                <w:kern w:val="0"/>
                <w:lang w:val="es-DO"/>
                <w14:ligatures w14:val="none"/>
              </w:rPr>
              <w:t xml:space="preserve"> en la red del proyecto. El equipo </w:t>
            </w:r>
            <w:r w:rsidR="00E63D20" w:rsidRPr="001E55F9">
              <w:rPr>
                <w:rFonts w:ascii="Garamond" w:eastAsia="Times New Roman" w:hAnsi="Garamond" w:cs="Times New Roman"/>
                <w:color w:val="000000"/>
                <w:kern w:val="0"/>
                <w:lang w:val="es-DO"/>
                <w14:ligatures w14:val="none"/>
              </w:rPr>
              <w:t>deberá</w:t>
            </w:r>
            <w:r w:rsidRPr="001E55F9">
              <w:rPr>
                <w:rFonts w:ascii="Garamond" w:eastAsia="Times New Roman" w:hAnsi="Garamond" w:cs="Times New Roman"/>
                <w:color w:val="000000"/>
                <w:kern w:val="0"/>
                <w:lang w:val="es-DO"/>
                <w14:ligatures w14:val="none"/>
              </w:rPr>
              <w:t xml:space="preserve"> preparar los datos para realizar la </w:t>
            </w:r>
            <w:r w:rsidR="00E63D20" w:rsidRPr="001E55F9">
              <w:rPr>
                <w:rFonts w:ascii="Garamond" w:eastAsia="Times New Roman" w:hAnsi="Garamond" w:cs="Times New Roman"/>
                <w:color w:val="000000"/>
                <w:kern w:val="0"/>
                <w:lang w:val="es-DO"/>
                <w14:ligatures w14:val="none"/>
              </w:rPr>
              <w:t>personalización</w:t>
            </w:r>
            <w:r w:rsidRPr="001E55F9">
              <w:rPr>
                <w:rFonts w:ascii="Garamond" w:eastAsia="Times New Roman" w:hAnsi="Garamond" w:cs="Times New Roman"/>
                <w:color w:val="000000"/>
                <w:kern w:val="0"/>
                <w:lang w:val="es-DO"/>
                <w14:ligatures w14:val="none"/>
              </w:rPr>
              <w:t xml:space="preserve"> de las credenciales de forma totalmente </w:t>
            </w:r>
            <w:r w:rsidR="00E63D20" w:rsidRPr="001E55F9">
              <w:rPr>
                <w:rFonts w:ascii="Garamond" w:eastAsia="Times New Roman" w:hAnsi="Garamond" w:cs="Times New Roman"/>
                <w:color w:val="000000"/>
                <w:kern w:val="0"/>
                <w:lang w:val="es-DO"/>
                <w14:ligatures w14:val="none"/>
              </w:rPr>
              <w:t>automática</w:t>
            </w:r>
            <w:r w:rsidRPr="001E55F9">
              <w:rPr>
                <w:rFonts w:ascii="Garamond" w:eastAsia="Times New Roman" w:hAnsi="Garamond" w:cs="Times New Roman"/>
                <w:color w:val="000000"/>
                <w:kern w:val="0"/>
                <w:lang w:val="es-DO"/>
                <w14:ligatures w14:val="none"/>
              </w:rPr>
              <w:t>.</w:t>
            </w:r>
          </w:p>
        </w:tc>
      </w:tr>
      <w:tr w:rsidR="0072538A" w:rsidRPr="001E55F9" w14:paraId="72908665" w14:textId="77777777" w:rsidTr="001E55F9">
        <w:trPr>
          <w:trHeight w:val="288"/>
          <w:jc w:val="center"/>
        </w:trPr>
        <w:tc>
          <w:tcPr>
            <w:tcW w:w="1052" w:type="dxa"/>
            <w:shd w:val="clear" w:color="000000" w:fill="D9D9D9"/>
            <w:vAlign w:val="bottom"/>
            <w:hideMark/>
          </w:tcPr>
          <w:p w14:paraId="4CA7B746" w14:textId="77777777" w:rsidR="0072538A" w:rsidRPr="001E55F9" w:rsidRDefault="0072538A" w:rsidP="001E55F9">
            <w:pPr>
              <w:spacing w:after="0" w:line="240" w:lineRule="auto"/>
              <w:jc w:val="center"/>
              <w:rPr>
                <w:rFonts w:ascii="Garamond" w:eastAsia="Times New Roman" w:hAnsi="Garamond" w:cs="Times New Roman"/>
                <w:b/>
                <w:bCs/>
                <w:color w:val="000000"/>
                <w:kern w:val="0"/>
                <w14:ligatures w14:val="none"/>
              </w:rPr>
            </w:pPr>
            <w:r w:rsidRPr="001E55F9">
              <w:rPr>
                <w:rFonts w:ascii="Garamond" w:eastAsia="Times New Roman" w:hAnsi="Garamond" w:cs="Times New Roman"/>
                <w:b/>
                <w:bCs/>
                <w:color w:val="000000"/>
                <w:kern w:val="0"/>
                <w14:ligatures w14:val="none"/>
              </w:rPr>
              <w:t>3.1</w:t>
            </w:r>
          </w:p>
        </w:tc>
        <w:tc>
          <w:tcPr>
            <w:tcW w:w="8303" w:type="dxa"/>
            <w:shd w:val="clear" w:color="000000" w:fill="D9D9D9"/>
            <w:vAlign w:val="bottom"/>
            <w:hideMark/>
          </w:tcPr>
          <w:p w14:paraId="592EC6E1" w14:textId="77777777" w:rsidR="0072538A" w:rsidRPr="001E55F9" w:rsidRDefault="0072538A" w:rsidP="001E55F9">
            <w:pPr>
              <w:spacing w:after="0" w:line="240" w:lineRule="auto"/>
              <w:jc w:val="both"/>
              <w:rPr>
                <w:rFonts w:ascii="Garamond" w:eastAsia="Times New Roman" w:hAnsi="Garamond" w:cs="Times New Roman"/>
                <w:b/>
                <w:bCs/>
                <w:color w:val="000000"/>
                <w:kern w:val="0"/>
                <w:lang w:val="es-DO"/>
                <w14:ligatures w14:val="none"/>
              </w:rPr>
            </w:pPr>
            <w:r w:rsidRPr="001E55F9">
              <w:rPr>
                <w:rFonts w:ascii="Garamond" w:eastAsia="Times New Roman" w:hAnsi="Garamond" w:cs="Times New Roman"/>
                <w:b/>
                <w:bCs/>
                <w:color w:val="000000"/>
                <w:kern w:val="0"/>
                <w:lang w:val="es-DO"/>
                <w14:ligatures w14:val="none"/>
              </w:rPr>
              <w:t>Características generales de la PKI</w:t>
            </w:r>
          </w:p>
        </w:tc>
      </w:tr>
      <w:tr w:rsidR="0072538A" w:rsidRPr="001E55F9" w14:paraId="39CABBD0" w14:textId="77777777" w:rsidTr="001E55F9">
        <w:trPr>
          <w:trHeight w:val="2028"/>
          <w:jc w:val="center"/>
        </w:trPr>
        <w:tc>
          <w:tcPr>
            <w:tcW w:w="1052" w:type="dxa"/>
            <w:shd w:val="clear" w:color="auto" w:fill="auto"/>
            <w:vAlign w:val="center"/>
            <w:hideMark/>
          </w:tcPr>
          <w:p w14:paraId="2D80B6AC"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3.1.10</w:t>
            </w:r>
          </w:p>
        </w:tc>
        <w:tc>
          <w:tcPr>
            <w:tcW w:w="8303" w:type="dxa"/>
            <w:shd w:val="clear" w:color="auto" w:fill="auto"/>
            <w:vAlign w:val="center"/>
            <w:hideMark/>
          </w:tcPr>
          <w:p w14:paraId="3DECA034" w14:textId="77777777"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El oferente deberá incluir en su propuesta, toda la infraestructura física necesaria para la implantación, ejecución y mantenimiento de la PKI, el conjunto de hardware y software en las instalaciones que indique la dirección de informática. El contrato de mantenimiento a cotizar será de dos (2) años. A partir de los dos años, la JCE podrá renovar el mantenimiento con el precio establecido del proveedor de forma anual. Para la solución de la PKI el ambiente productivo debe habilitarse en alta disponibilidad con 2 nodos activos en balanceo de carga, un ambiente de DRP en disponibilidad simple (1 nodo) y un ambiente de desarrollo en disponibilidad simple (1 nodo).</w:t>
            </w:r>
          </w:p>
        </w:tc>
      </w:tr>
      <w:tr w:rsidR="0072538A" w:rsidRPr="001E55F9" w14:paraId="427CE320" w14:textId="77777777" w:rsidTr="001E55F9">
        <w:trPr>
          <w:trHeight w:val="576"/>
          <w:jc w:val="center"/>
        </w:trPr>
        <w:tc>
          <w:tcPr>
            <w:tcW w:w="1052" w:type="dxa"/>
            <w:shd w:val="clear" w:color="auto" w:fill="auto"/>
            <w:vAlign w:val="bottom"/>
            <w:hideMark/>
          </w:tcPr>
          <w:p w14:paraId="3193FAFF"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3.1.12</w:t>
            </w:r>
          </w:p>
        </w:tc>
        <w:tc>
          <w:tcPr>
            <w:tcW w:w="8303" w:type="dxa"/>
            <w:shd w:val="clear" w:color="auto" w:fill="auto"/>
            <w:vAlign w:val="bottom"/>
            <w:hideMark/>
          </w:tcPr>
          <w:p w14:paraId="1510D9B6" w14:textId="37456620"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xml:space="preserve">En la Nube (compatible con los servicios en la nube de Azure): CMS, CRL/Protocolo de Estado del </w:t>
            </w:r>
            <w:r w:rsidR="00E63D20" w:rsidRPr="001E55F9">
              <w:rPr>
                <w:rFonts w:ascii="Garamond" w:eastAsia="Times New Roman" w:hAnsi="Garamond" w:cs="Times New Roman"/>
                <w:color w:val="000000"/>
                <w:kern w:val="0"/>
                <w:lang w:val="es-DO"/>
                <w14:ligatures w14:val="none"/>
              </w:rPr>
              <w:t>Certificado en</w:t>
            </w:r>
            <w:r w:rsidRPr="001E55F9">
              <w:rPr>
                <w:rFonts w:ascii="Garamond" w:eastAsia="Times New Roman" w:hAnsi="Garamond" w:cs="Times New Roman"/>
                <w:color w:val="000000"/>
                <w:kern w:val="0"/>
                <w:lang w:val="es-DO"/>
                <w14:ligatures w14:val="none"/>
              </w:rPr>
              <w:t xml:space="preserve"> Línea, Repositorio PKI, y servicios adicionales no críticos</w:t>
            </w:r>
          </w:p>
        </w:tc>
      </w:tr>
      <w:tr w:rsidR="0072538A" w:rsidRPr="001E55F9" w14:paraId="12F9DC21" w14:textId="77777777" w:rsidTr="001E55F9">
        <w:trPr>
          <w:trHeight w:val="288"/>
          <w:jc w:val="center"/>
        </w:trPr>
        <w:tc>
          <w:tcPr>
            <w:tcW w:w="1052" w:type="dxa"/>
            <w:shd w:val="clear" w:color="auto" w:fill="auto"/>
            <w:vAlign w:val="center"/>
            <w:hideMark/>
          </w:tcPr>
          <w:p w14:paraId="4C220B74"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3.1.13</w:t>
            </w:r>
          </w:p>
        </w:tc>
        <w:tc>
          <w:tcPr>
            <w:tcW w:w="8303" w:type="dxa"/>
            <w:shd w:val="clear" w:color="auto" w:fill="auto"/>
            <w:vAlign w:val="center"/>
            <w:hideMark/>
          </w:tcPr>
          <w:p w14:paraId="511E5042" w14:textId="77777777"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Tanto la PKI de firma de documentos como la PKI de Firma Digital deben cumplir CC EAL 4+</w:t>
            </w:r>
          </w:p>
        </w:tc>
      </w:tr>
      <w:tr w:rsidR="0072538A" w:rsidRPr="001E55F9" w14:paraId="430C5F69" w14:textId="77777777" w:rsidTr="001E55F9">
        <w:trPr>
          <w:trHeight w:val="288"/>
          <w:jc w:val="center"/>
        </w:trPr>
        <w:tc>
          <w:tcPr>
            <w:tcW w:w="1052" w:type="dxa"/>
            <w:shd w:val="clear" w:color="auto" w:fill="auto"/>
            <w:vAlign w:val="center"/>
            <w:hideMark/>
          </w:tcPr>
          <w:p w14:paraId="167EA3E6"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3.1.22</w:t>
            </w:r>
          </w:p>
        </w:tc>
        <w:tc>
          <w:tcPr>
            <w:tcW w:w="8303" w:type="dxa"/>
            <w:shd w:val="clear" w:color="auto" w:fill="auto"/>
            <w:vAlign w:val="center"/>
            <w:hideMark/>
          </w:tcPr>
          <w:p w14:paraId="13627417" w14:textId="49EAB840"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xml:space="preserve">El CSCA </w:t>
            </w:r>
            <w:r w:rsidR="00E63D20" w:rsidRPr="001E55F9">
              <w:rPr>
                <w:rFonts w:ascii="Garamond" w:eastAsia="Times New Roman" w:hAnsi="Garamond" w:cs="Times New Roman"/>
                <w:color w:val="000000"/>
                <w:kern w:val="0"/>
                <w:lang w:val="es-DO"/>
                <w14:ligatures w14:val="none"/>
              </w:rPr>
              <w:t>debería</w:t>
            </w:r>
            <w:r w:rsidRPr="001E55F9">
              <w:rPr>
                <w:rFonts w:ascii="Garamond" w:eastAsia="Times New Roman" w:hAnsi="Garamond" w:cs="Times New Roman"/>
                <w:color w:val="000000"/>
                <w:kern w:val="0"/>
                <w:lang w:val="es-DO"/>
                <w14:ligatures w14:val="none"/>
              </w:rPr>
              <w:t xml:space="preserve"> ser capaz de emitir certificados de firmante de lista maestra.</w:t>
            </w:r>
          </w:p>
        </w:tc>
      </w:tr>
      <w:tr w:rsidR="0072538A" w:rsidRPr="001E55F9" w14:paraId="4B824F28" w14:textId="77777777" w:rsidTr="001E55F9">
        <w:trPr>
          <w:trHeight w:val="576"/>
          <w:jc w:val="center"/>
        </w:trPr>
        <w:tc>
          <w:tcPr>
            <w:tcW w:w="1052" w:type="dxa"/>
            <w:shd w:val="clear" w:color="auto" w:fill="auto"/>
            <w:vAlign w:val="center"/>
            <w:hideMark/>
          </w:tcPr>
          <w:p w14:paraId="4CB51CCE"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3.1.26</w:t>
            </w:r>
          </w:p>
        </w:tc>
        <w:tc>
          <w:tcPr>
            <w:tcW w:w="8303" w:type="dxa"/>
            <w:shd w:val="clear" w:color="auto" w:fill="auto"/>
            <w:vAlign w:val="center"/>
            <w:hideMark/>
          </w:tcPr>
          <w:p w14:paraId="5B1EE69F" w14:textId="33B3BAE6"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xml:space="preserve">El DS que </w:t>
            </w:r>
            <w:r w:rsidR="00E63D20" w:rsidRPr="001E55F9">
              <w:rPr>
                <w:rFonts w:ascii="Garamond" w:eastAsia="Times New Roman" w:hAnsi="Garamond" w:cs="Times New Roman"/>
                <w:color w:val="000000"/>
                <w:kern w:val="0"/>
                <w:lang w:val="es-DO"/>
                <w14:ligatures w14:val="none"/>
              </w:rPr>
              <w:t>deberá</w:t>
            </w:r>
            <w:r w:rsidRPr="001E55F9">
              <w:rPr>
                <w:rFonts w:ascii="Garamond" w:eastAsia="Times New Roman" w:hAnsi="Garamond" w:cs="Times New Roman"/>
                <w:color w:val="000000"/>
                <w:kern w:val="0"/>
                <w:lang w:val="es-DO"/>
                <w14:ligatures w14:val="none"/>
              </w:rPr>
              <w:t xml:space="preserve"> utilizar una </w:t>
            </w:r>
            <w:r w:rsidR="00E63D20" w:rsidRPr="001E55F9">
              <w:rPr>
                <w:rFonts w:ascii="Garamond" w:eastAsia="Times New Roman" w:hAnsi="Garamond" w:cs="Times New Roman"/>
                <w:color w:val="000000"/>
                <w:kern w:val="0"/>
                <w:lang w:val="es-DO"/>
                <w14:ligatures w14:val="none"/>
              </w:rPr>
              <w:t>autenticación</w:t>
            </w:r>
            <w:r w:rsidRPr="001E55F9">
              <w:rPr>
                <w:rFonts w:ascii="Garamond" w:eastAsia="Times New Roman" w:hAnsi="Garamond" w:cs="Times New Roman"/>
                <w:color w:val="000000"/>
                <w:kern w:val="0"/>
                <w:lang w:val="es-DO"/>
                <w14:ligatures w14:val="none"/>
              </w:rPr>
              <w:t xml:space="preserve"> multifactorial para el inicio de sesión en la interfaz de </w:t>
            </w:r>
            <w:r w:rsidR="00E63D20" w:rsidRPr="001E55F9">
              <w:rPr>
                <w:rFonts w:ascii="Garamond" w:eastAsia="Times New Roman" w:hAnsi="Garamond" w:cs="Times New Roman"/>
                <w:color w:val="000000"/>
                <w:kern w:val="0"/>
                <w:lang w:val="es-DO"/>
                <w14:ligatures w14:val="none"/>
              </w:rPr>
              <w:t>administración</w:t>
            </w:r>
            <w:r w:rsidRPr="001E55F9">
              <w:rPr>
                <w:rFonts w:ascii="Garamond" w:eastAsia="Times New Roman" w:hAnsi="Garamond" w:cs="Times New Roman"/>
                <w:color w:val="000000"/>
                <w:kern w:val="0"/>
                <w:lang w:val="es-DO"/>
                <w14:ligatures w14:val="none"/>
              </w:rPr>
              <w:t xml:space="preserve"> debería avisar claramente antes de que finalice el tiempo de uso de la clave del certificado actualmente utilizado.</w:t>
            </w:r>
          </w:p>
        </w:tc>
      </w:tr>
      <w:tr w:rsidR="0072538A" w:rsidRPr="001E55F9" w14:paraId="43047A88" w14:textId="77777777" w:rsidTr="001E55F9">
        <w:trPr>
          <w:trHeight w:val="576"/>
          <w:jc w:val="center"/>
        </w:trPr>
        <w:tc>
          <w:tcPr>
            <w:tcW w:w="1052" w:type="dxa"/>
            <w:shd w:val="clear" w:color="auto" w:fill="auto"/>
            <w:vAlign w:val="center"/>
            <w:hideMark/>
          </w:tcPr>
          <w:p w14:paraId="612392DD"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3.1.27</w:t>
            </w:r>
          </w:p>
        </w:tc>
        <w:tc>
          <w:tcPr>
            <w:tcW w:w="8303" w:type="dxa"/>
            <w:shd w:val="clear" w:color="auto" w:fill="auto"/>
            <w:vAlign w:val="center"/>
            <w:hideMark/>
          </w:tcPr>
          <w:p w14:paraId="2CC60041" w14:textId="77777777"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Se utilizará un DS separado para firmar los DTC para la aplicación Tarjeta Digital de la JCE. Este DS independiente requerirá una interfaz para acceder al sistema back-end de la JCE.</w:t>
            </w:r>
          </w:p>
        </w:tc>
      </w:tr>
      <w:tr w:rsidR="0072538A" w:rsidRPr="001E55F9" w14:paraId="0721E29A" w14:textId="77777777" w:rsidTr="001E55F9">
        <w:trPr>
          <w:trHeight w:val="288"/>
          <w:jc w:val="center"/>
        </w:trPr>
        <w:tc>
          <w:tcPr>
            <w:tcW w:w="1052" w:type="dxa"/>
            <w:shd w:val="clear" w:color="000000" w:fill="D9D9D9"/>
            <w:vAlign w:val="center"/>
            <w:hideMark/>
          </w:tcPr>
          <w:p w14:paraId="1DDD80BC" w14:textId="77777777" w:rsidR="0072538A" w:rsidRPr="001E55F9" w:rsidRDefault="0072538A" w:rsidP="001E55F9">
            <w:pPr>
              <w:spacing w:after="0" w:line="240" w:lineRule="auto"/>
              <w:jc w:val="center"/>
              <w:rPr>
                <w:rFonts w:ascii="Garamond" w:eastAsia="Times New Roman" w:hAnsi="Garamond" w:cs="Times New Roman"/>
                <w:b/>
                <w:bCs/>
                <w:color w:val="000000"/>
                <w:kern w:val="0"/>
                <w14:ligatures w14:val="none"/>
              </w:rPr>
            </w:pPr>
            <w:r w:rsidRPr="001E55F9">
              <w:rPr>
                <w:rFonts w:ascii="Garamond" w:eastAsia="Times New Roman" w:hAnsi="Garamond" w:cs="Times New Roman"/>
                <w:b/>
                <w:bCs/>
                <w:color w:val="000000"/>
                <w:kern w:val="0"/>
                <w14:ligatures w14:val="none"/>
              </w:rPr>
              <w:t>3.2</w:t>
            </w:r>
          </w:p>
        </w:tc>
        <w:tc>
          <w:tcPr>
            <w:tcW w:w="8303" w:type="dxa"/>
            <w:shd w:val="clear" w:color="000000" w:fill="D9D9D9"/>
            <w:vAlign w:val="center"/>
            <w:hideMark/>
          </w:tcPr>
          <w:p w14:paraId="55A07128" w14:textId="77777777" w:rsidR="0072538A" w:rsidRPr="001E55F9" w:rsidRDefault="0072538A" w:rsidP="001E55F9">
            <w:pPr>
              <w:spacing w:after="0" w:line="240" w:lineRule="auto"/>
              <w:jc w:val="both"/>
              <w:rPr>
                <w:rFonts w:ascii="Garamond" w:eastAsia="Times New Roman" w:hAnsi="Garamond" w:cs="Times New Roman"/>
                <w:b/>
                <w:bCs/>
                <w:color w:val="000000"/>
                <w:kern w:val="0"/>
                <w:lang w:val="es-DO"/>
                <w14:ligatures w14:val="none"/>
              </w:rPr>
            </w:pPr>
            <w:r w:rsidRPr="001E55F9">
              <w:rPr>
                <w:rFonts w:ascii="Garamond" w:eastAsia="Times New Roman" w:hAnsi="Garamond" w:cs="Times New Roman"/>
                <w:b/>
                <w:bCs/>
                <w:color w:val="000000"/>
                <w:kern w:val="0"/>
                <w:lang w:val="es-DO"/>
                <w14:ligatures w14:val="none"/>
              </w:rPr>
              <w:t>Autoridad de Certificación (CA) de firma de país (CSCA)</w:t>
            </w:r>
          </w:p>
        </w:tc>
      </w:tr>
      <w:tr w:rsidR="0072538A" w:rsidRPr="001E55F9" w14:paraId="7C4E56F3" w14:textId="77777777" w:rsidTr="001E55F9">
        <w:trPr>
          <w:trHeight w:val="3744"/>
          <w:jc w:val="center"/>
        </w:trPr>
        <w:tc>
          <w:tcPr>
            <w:tcW w:w="1052" w:type="dxa"/>
            <w:shd w:val="clear" w:color="auto" w:fill="auto"/>
            <w:vAlign w:val="center"/>
            <w:hideMark/>
          </w:tcPr>
          <w:p w14:paraId="39FEE3F8"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lastRenderedPageBreak/>
              <w:t>3.2.3</w:t>
            </w:r>
          </w:p>
        </w:tc>
        <w:tc>
          <w:tcPr>
            <w:tcW w:w="8303" w:type="dxa"/>
            <w:shd w:val="clear" w:color="auto" w:fill="auto"/>
            <w:vAlign w:val="center"/>
            <w:hideMark/>
          </w:tcPr>
          <w:p w14:paraId="027C7983" w14:textId="34E9864F"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xml:space="preserve">Los sistemas o instalaciones propuestos </w:t>
            </w:r>
            <w:r w:rsidR="00A737A5" w:rsidRPr="001E55F9">
              <w:rPr>
                <w:rFonts w:ascii="Garamond" w:eastAsia="Times New Roman" w:hAnsi="Garamond" w:cs="Times New Roman"/>
                <w:color w:val="000000"/>
                <w:kern w:val="0"/>
                <w:lang w:val="es-DO"/>
                <w14:ligatures w14:val="none"/>
              </w:rPr>
              <w:t>deberán</w:t>
            </w:r>
            <w:r w:rsidRPr="001E55F9">
              <w:rPr>
                <w:rFonts w:ascii="Garamond" w:eastAsia="Times New Roman" w:hAnsi="Garamond" w:cs="Times New Roman"/>
                <w:color w:val="000000"/>
                <w:kern w:val="0"/>
                <w:lang w:val="es-DO"/>
                <w14:ligatures w14:val="none"/>
              </w:rPr>
              <w:t xml:space="preserve"> estar bien protegidos de cualquier acceso externo o no autorizado a </w:t>
            </w:r>
            <w:r w:rsidR="00A737A5" w:rsidRPr="001E55F9">
              <w:rPr>
                <w:rFonts w:ascii="Garamond" w:eastAsia="Times New Roman" w:hAnsi="Garamond" w:cs="Times New Roman"/>
                <w:color w:val="000000"/>
                <w:kern w:val="0"/>
                <w:lang w:val="es-DO"/>
                <w14:ligatures w14:val="none"/>
              </w:rPr>
              <w:t>través</w:t>
            </w:r>
            <w:r w:rsidRPr="001E55F9">
              <w:rPr>
                <w:rFonts w:ascii="Garamond" w:eastAsia="Times New Roman" w:hAnsi="Garamond" w:cs="Times New Roman"/>
                <w:color w:val="000000"/>
                <w:kern w:val="0"/>
                <w:lang w:val="es-DO"/>
                <w14:ligatures w14:val="none"/>
              </w:rPr>
              <w:t xml:space="preserve"> del </w:t>
            </w:r>
            <w:r w:rsidR="00A737A5" w:rsidRPr="001E55F9">
              <w:rPr>
                <w:rFonts w:ascii="Garamond" w:eastAsia="Times New Roman" w:hAnsi="Garamond" w:cs="Times New Roman"/>
                <w:color w:val="000000"/>
                <w:kern w:val="0"/>
                <w:lang w:val="es-DO"/>
                <w14:ligatures w14:val="none"/>
              </w:rPr>
              <w:t>diseño</w:t>
            </w:r>
            <w:r w:rsidRPr="001E55F9">
              <w:rPr>
                <w:rFonts w:ascii="Garamond" w:eastAsia="Times New Roman" w:hAnsi="Garamond" w:cs="Times New Roman"/>
                <w:color w:val="000000"/>
                <w:kern w:val="0"/>
                <w:lang w:val="es-DO"/>
                <w14:ligatures w14:val="none"/>
              </w:rPr>
              <w:t xml:space="preserve"> inherente y las instalaciones de seguridad de hardware y requerirá medidas de seguridad robustas, entre otras:    </w:t>
            </w:r>
            <w:r w:rsidRPr="001E55F9">
              <w:rPr>
                <w:rFonts w:ascii="Garamond" w:eastAsia="Times New Roman" w:hAnsi="Garamond" w:cs="Times New Roman"/>
                <w:color w:val="000000"/>
                <w:kern w:val="0"/>
                <w:lang w:val="es-DO"/>
                <w14:ligatures w14:val="none"/>
              </w:rPr>
              <w:br/>
              <w:t xml:space="preserve">- </w:t>
            </w:r>
            <w:r w:rsidR="00A737A5" w:rsidRPr="001E55F9">
              <w:rPr>
                <w:rFonts w:ascii="Garamond" w:eastAsia="Times New Roman" w:hAnsi="Garamond" w:cs="Times New Roman"/>
                <w:color w:val="000000"/>
                <w:kern w:val="0"/>
                <w:lang w:val="es-DO"/>
                <w14:ligatures w14:val="none"/>
              </w:rPr>
              <w:t>Autenticación</w:t>
            </w:r>
            <w:r w:rsidRPr="001E55F9">
              <w:rPr>
                <w:rFonts w:ascii="Garamond" w:eastAsia="Times New Roman" w:hAnsi="Garamond" w:cs="Times New Roman"/>
                <w:color w:val="000000"/>
                <w:kern w:val="0"/>
                <w:lang w:val="es-DO"/>
                <w14:ligatures w14:val="none"/>
              </w:rPr>
              <w:t xml:space="preserve"> multifactorial (MFA para acceso a la administración). Cifrado avanzado en todas las comunicaciones y datos almacenados, utilizando algoritmos criptográficos robustos y actuales.</w:t>
            </w:r>
            <w:r w:rsidRPr="001E55F9">
              <w:rPr>
                <w:rFonts w:ascii="Garamond" w:eastAsia="Times New Roman" w:hAnsi="Garamond" w:cs="Times New Roman"/>
                <w:color w:val="000000"/>
                <w:kern w:val="0"/>
                <w:lang w:val="es-DO"/>
                <w14:ligatures w14:val="none"/>
              </w:rPr>
              <w:br/>
              <w:t>- Uso de Módulos de Seguridad por Hardware (HSMs) certificados (FIPS 140-2 nivel 2 o superior) para la generación y almacenamiento de claves privadas.</w:t>
            </w:r>
            <w:r w:rsidRPr="001E55F9">
              <w:rPr>
                <w:rFonts w:ascii="Garamond" w:eastAsia="Times New Roman" w:hAnsi="Garamond" w:cs="Times New Roman"/>
                <w:color w:val="000000"/>
                <w:kern w:val="0"/>
                <w:lang w:val="es-DO"/>
                <w14:ligatures w14:val="none"/>
              </w:rPr>
              <w:br/>
              <w:t>- Implementación de sistemas avanzados de monitoreo y detección de intrusos (IDS/IPS).</w:t>
            </w:r>
            <w:r w:rsidRPr="001E55F9">
              <w:rPr>
                <w:rFonts w:ascii="Garamond" w:eastAsia="Times New Roman" w:hAnsi="Garamond" w:cs="Times New Roman"/>
                <w:color w:val="000000"/>
                <w:kern w:val="0"/>
                <w:lang w:val="es-DO"/>
                <w14:ligatures w14:val="none"/>
              </w:rPr>
              <w:br/>
              <w:t>- El monitoreo debe incluir de infraestructura, de seguridad y de comuni</w:t>
            </w:r>
            <w:r w:rsidR="00A737A5" w:rsidRPr="001E55F9">
              <w:rPr>
                <w:rFonts w:ascii="Garamond" w:eastAsia="Times New Roman" w:hAnsi="Garamond" w:cs="Times New Roman"/>
                <w:color w:val="000000"/>
                <w:kern w:val="0"/>
                <w:lang w:val="es-DO"/>
                <w14:ligatures w14:val="none"/>
              </w:rPr>
              <w:t>ca</w:t>
            </w:r>
            <w:r w:rsidRPr="001E55F9">
              <w:rPr>
                <w:rFonts w:ascii="Garamond" w:eastAsia="Times New Roman" w:hAnsi="Garamond" w:cs="Times New Roman"/>
                <w:color w:val="000000"/>
                <w:kern w:val="0"/>
                <w:lang w:val="es-DO"/>
                <w14:ligatures w14:val="none"/>
              </w:rPr>
              <w:t>ciones</w:t>
            </w:r>
            <w:r w:rsidRPr="001E55F9">
              <w:rPr>
                <w:rFonts w:ascii="Garamond" w:eastAsia="Times New Roman" w:hAnsi="Garamond" w:cs="Times New Roman"/>
                <w:color w:val="000000"/>
                <w:kern w:val="0"/>
                <w:lang w:val="es-DO"/>
                <w14:ligatures w14:val="none"/>
              </w:rPr>
              <w:br/>
              <w:t>- Segmentación de redes que aísle la infraestructura de PKI de otras redes corporativas.</w:t>
            </w:r>
            <w:r w:rsidRPr="001E55F9">
              <w:rPr>
                <w:rFonts w:ascii="Garamond" w:eastAsia="Times New Roman" w:hAnsi="Garamond" w:cs="Times New Roman"/>
                <w:color w:val="000000"/>
                <w:kern w:val="0"/>
                <w:lang w:val="es-DO"/>
                <w14:ligatures w14:val="none"/>
              </w:rPr>
              <w:br/>
              <w:t>- Mantenimiento de todos los sistemas y software de la PKI actualizados con los últimos parches de seguridad.</w:t>
            </w:r>
            <w:r w:rsidRPr="001E55F9">
              <w:rPr>
                <w:rFonts w:ascii="Garamond" w:eastAsia="Times New Roman" w:hAnsi="Garamond" w:cs="Times New Roman"/>
                <w:color w:val="000000"/>
                <w:kern w:val="0"/>
                <w:lang w:val="es-DO"/>
                <w14:ligatures w14:val="none"/>
              </w:rPr>
              <w:br/>
              <w:t>- Realización de auditorías regulares y evaluaciones de seguridad.</w:t>
            </w:r>
            <w:r w:rsidRPr="001E55F9">
              <w:rPr>
                <w:rFonts w:ascii="Garamond" w:eastAsia="Times New Roman" w:hAnsi="Garamond" w:cs="Times New Roman"/>
                <w:color w:val="000000"/>
                <w:kern w:val="0"/>
                <w:lang w:val="es-DO"/>
                <w14:ligatures w14:val="none"/>
              </w:rPr>
              <w:br/>
              <w:t>- Capacitación del personal involucrado en la operación y gestión de la PKI sobre las mejores prácticas de seguridad y procedimientos de respuesta a incidentes.</w:t>
            </w:r>
          </w:p>
        </w:tc>
      </w:tr>
      <w:tr w:rsidR="0072538A" w:rsidRPr="001E55F9" w14:paraId="005030FB" w14:textId="77777777" w:rsidTr="001E55F9">
        <w:trPr>
          <w:trHeight w:val="1152"/>
          <w:jc w:val="center"/>
        </w:trPr>
        <w:tc>
          <w:tcPr>
            <w:tcW w:w="1052" w:type="dxa"/>
            <w:shd w:val="clear" w:color="auto" w:fill="auto"/>
            <w:vAlign w:val="center"/>
            <w:hideMark/>
          </w:tcPr>
          <w:p w14:paraId="646AA99B"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3.2.5</w:t>
            </w:r>
          </w:p>
        </w:tc>
        <w:tc>
          <w:tcPr>
            <w:tcW w:w="8303" w:type="dxa"/>
            <w:shd w:val="clear" w:color="auto" w:fill="auto"/>
            <w:vAlign w:val="center"/>
            <w:hideMark/>
          </w:tcPr>
          <w:p w14:paraId="6AF97D7E" w14:textId="77777777"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xml:space="preserve">Es obligatorio implementar planes de recuperación ante desastres y continuidad del negocio para la infraestructura PKI. Es importante que el plan de continuidad y recuperación ante desastres esté alineado con las normas internacionales, como la ISO/IEC 27031, que establece directrices para la preparación en tecnologías de la información, y la ISO 22301, que cubre los sistemas de gestión de continuidad del negocio. </w:t>
            </w:r>
          </w:p>
        </w:tc>
      </w:tr>
      <w:tr w:rsidR="0072538A" w:rsidRPr="001E55F9" w14:paraId="1DEF5A83" w14:textId="77777777" w:rsidTr="001E55F9">
        <w:trPr>
          <w:trHeight w:val="288"/>
          <w:jc w:val="center"/>
        </w:trPr>
        <w:tc>
          <w:tcPr>
            <w:tcW w:w="1052" w:type="dxa"/>
            <w:shd w:val="clear" w:color="000000" w:fill="D9D9D9"/>
            <w:vAlign w:val="center"/>
            <w:hideMark/>
          </w:tcPr>
          <w:p w14:paraId="1F73B75F" w14:textId="77777777" w:rsidR="0072538A" w:rsidRPr="001E55F9" w:rsidRDefault="0072538A" w:rsidP="001E55F9">
            <w:pPr>
              <w:spacing w:after="0" w:line="240" w:lineRule="auto"/>
              <w:jc w:val="center"/>
              <w:rPr>
                <w:rFonts w:ascii="Garamond" w:eastAsia="Times New Roman" w:hAnsi="Garamond" w:cs="Times New Roman"/>
                <w:b/>
                <w:bCs/>
                <w:color w:val="000000"/>
                <w:kern w:val="0"/>
                <w14:ligatures w14:val="none"/>
              </w:rPr>
            </w:pPr>
            <w:r w:rsidRPr="001E55F9">
              <w:rPr>
                <w:rFonts w:ascii="Garamond" w:eastAsia="Times New Roman" w:hAnsi="Garamond" w:cs="Times New Roman"/>
                <w:b/>
                <w:bCs/>
                <w:color w:val="000000"/>
                <w:kern w:val="0"/>
                <w14:ligatures w14:val="none"/>
              </w:rPr>
              <w:t>3.2.11</w:t>
            </w:r>
          </w:p>
        </w:tc>
        <w:tc>
          <w:tcPr>
            <w:tcW w:w="8303" w:type="dxa"/>
            <w:shd w:val="clear" w:color="000000" w:fill="D9D9D9"/>
            <w:vAlign w:val="center"/>
            <w:hideMark/>
          </w:tcPr>
          <w:p w14:paraId="354E751B" w14:textId="77777777" w:rsidR="0072538A" w:rsidRPr="001E55F9" w:rsidRDefault="0072538A" w:rsidP="001E55F9">
            <w:pPr>
              <w:spacing w:after="0" w:line="240" w:lineRule="auto"/>
              <w:jc w:val="both"/>
              <w:rPr>
                <w:rFonts w:ascii="Garamond" w:eastAsia="Times New Roman" w:hAnsi="Garamond" w:cs="Times New Roman"/>
                <w:b/>
                <w:bCs/>
                <w:color w:val="000000"/>
                <w:kern w:val="0"/>
                <w:lang w:val="es-DO"/>
                <w14:ligatures w14:val="none"/>
              </w:rPr>
            </w:pPr>
            <w:r w:rsidRPr="001E55F9">
              <w:rPr>
                <w:rFonts w:ascii="Garamond" w:eastAsia="Times New Roman" w:hAnsi="Garamond" w:cs="Times New Roman"/>
                <w:b/>
                <w:bCs/>
                <w:color w:val="000000"/>
                <w:kern w:val="0"/>
                <w:lang w:val="es-DO"/>
                <w14:ligatures w14:val="none"/>
              </w:rPr>
              <w:t>Algoritmos criptográficos asimétricos (podrá soportar)</w:t>
            </w:r>
          </w:p>
        </w:tc>
      </w:tr>
      <w:tr w:rsidR="0072538A" w:rsidRPr="001E55F9" w14:paraId="40932BFF" w14:textId="77777777" w:rsidTr="001E55F9">
        <w:trPr>
          <w:trHeight w:val="576"/>
          <w:jc w:val="center"/>
        </w:trPr>
        <w:tc>
          <w:tcPr>
            <w:tcW w:w="1052" w:type="dxa"/>
            <w:shd w:val="clear" w:color="auto" w:fill="auto"/>
            <w:vAlign w:val="center"/>
            <w:hideMark/>
          </w:tcPr>
          <w:p w14:paraId="027014EE"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3.2.11.1 - 3.2.11.9</w:t>
            </w:r>
          </w:p>
        </w:tc>
        <w:tc>
          <w:tcPr>
            <w:tcW w:w="8303" w:type="dxa"/>
            <w:shd w:val="clear" w:color="auto" w:fill="auto"/>
            <w:vAlign w:val="center"/>
            <w:hideMark/>
          </w:tcPr>
          <w:p w14:paraId="20DFB0ED" w14:textId="77777777"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RSA, DSA, ECC, ECDSA, ECDH, Ed25519, ECIES, Brainpool curves (nombrados y definidos por el usuario), Diffie Hellman (DH) ]</w:t>
            </w:r>
          </w:p>
        </w:tc>
      </w:tr>
      <w:tr w:rsidR="0072538A" w:rsidRPr="001E55F9" w14:paraId="132851DF" w14:textId="77777777" w:rsidTr="001E55F9">
        <w:trPr>
          <w:trHeight w:val="288"/>
          <w:jc w:val="center"/>
        </w:trPr>
        <w:tc>
          <w:tcPr>
            <w:tcW w:w="1052" w:type="dxa"/>
            <w:shd w:val="clear" w:color="000000" w:fill="D9D9D9"/>
            <w:vAlign w:val="center"/>
            <w:hideMark/>
          </w:tcPr>
          <w:p w14:paraId="690BB372" w14:textId="77777777" w:rsidR="0072538A" w:rsidRPr="001E55F9" w:rsidRDefault="0072538A" w:rsidP="001E55F9">
            <w:pPr>
              <w:spacing w:after="0" w:line="240" w:lineRule="auto"/>
              <w:jc w:val="center"/>
              <w:rPr>
                <w:rFonts w:ascii="Garamond" w:eastAsia="Times New Roman" w:hAnsi="Garamond" w:cs="Times New Roman"/>
                <w:b/>
                <w:bCs/>
                <w:color w:val="000000"/>
                <w:kern w:val="0"/>
                <w14:ligatures w14:val="none"/>
              </w:rPr>
            </w:pPr>
            <w:r w:rsidRPr="001E55F9">
              <w:rPr>
                <w:rFonts w:ascii="Garamond" w:eastAsia="Times New Roman" w:hAnsi="Garamond" w:cs="Times New Roman"/>
                <w:b/>
                <w:bCs/>
                <w:color w:val="000000"/>
                <w:kern w:val="0"/>
                <w14:ligatures w14:val="none"/>
              </w:rPr>
              <w:t>3.2.12</w:t>
            </w:r>
          </w:p>
        </w:tc>
        <w:tc>
          <w:tcPr>
            <w:tcW w:w="8303" w:type="dxa"/>
            <w:shd w:val="clear" w:color="000000" w:fill="D9D9D9"/>
            <w:vAlign w:val="center"/>
            <w:hideMark/>
          </w:tcPr>
          <w:p w14:paraId="00F00624" w14:textId="77777777" w:rsidR="0072538A" w:rsidRPr="001E55F9" w:rsidRDefault="0072538A" w:rsidP="001E55F9">
            <w:pPr>
              <w:spacing w:after="0" w:line="240" w:lineRule="auto"/>
              <w:jc w:val="both"/>
              <w:rPr>
                <w:rFonts w:ascii="Garamond" w:eastAsia="Times New Roman" w:hAnsi="Garamond" w:cs="Times New Roman"/>
                <w:b/>
                <w:bCs/>
                <w:color w:val="000000"/>
                <w:kern w:val="0"/>
                <w:lang w:val="es-DO"/>
                <w14:ligatures w14:val="none"/>
              </w:rPr>
            </w:pPr>
            <w:r w:rsidRPr="001E55F9">
              <w:rPr>
                <w:rFonts w:ascii="Garamond" w:eastAsia="Times New Roman" w:hAnsi="Garamond" w:cs="Times New Roman"/>
                <w:b/>
                <w:bCs/>
                <w:color w:val="000000"/>
                <w:kern w:val="0"/>
                <w:lang w:val="es-DO"/>
                <w14:ligatures w14:val="none"/>
              </w:rPr>
              <w:t>Algoritmos criptográficos simétricos (podrá soportar)</w:t>
            </w:r>
          </w:p>
        </w:tc>
      </w:tr>
      <w:tr w:rsidR="0072538A" w:rsidRPr="001E55F9" w14:paraId="6FDC1723" w14:textId="77777777" w:rsidTr="001E55F9">
        <w:trPr>
          <w:trHeight w:val="576"/>
          <w:jc w:val="center"/>
        </w:trPr>
        <w:tc>
          <w:tcPr>
            <w:tcW w:w="1052" w:type="dxa"/>
            <w:shd w:val="clear" w:color="auto" w:fill="auto"/>
            <w:vAlign w:val="center"/>
            <w:hideMark/>
          </w:tcPr>
          <w:p w14:paraId="0CD993BC"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3.2.12.1 - 3.2.12.10</w:t>
            </w:r>
          </w:p>
        </w:tc>
        <w:tc>
          <w:tcPr>
            <w:tcW w:w="8303" w:type="dxa"/>
            <w:shd w:val="clear" w:color="auto" w:fill="auto"/>
            <w:vAlign w:val="center"/>
            <w:hideMark/>
          </w:tcPr>
          <w:p w14:paraId="1205495C" w14:textId="77777777" w:rsidR="0072538A" w:rsidRPr="001E55F9" w:rsidRDefault="0072538A" w:rsidP="001E55F9">
            <w:pPr>
              <w:spacing w:after="0" w:line="240" w:lineRule="auto"/>
              <w:jc w:val="both"/>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 AES, AES-GCM, DES, 3DES, ARIA, SEED, RC2, RC4, RC5, CAST ]</w:t>
            </w:r>
          </w:p>
        </w:tc>
      </w:tr>
      <w:tr w:rsidR="0072538A" w:rsidRPr="001E55F9" w14:paraId="268B3684" w14:textId="77777777" w:rsidTr="001E55F9">
        <w:trPr>
          <w:trHeight w:val="288"/>
          <w:jc w:val="center"/>
        </w:trPr>
        <w:tc>
          <w:tcPr>
            <w:tcW w:w="1052" w:type="dxa"/>
            <w:shd w:val="clear" w:color="000000" w:fill="D9D9D9"/>
            <w:vAlign w:val="center"/>
            <w:hideMark/>
          </w:tcPr>
          <w:p w14:paraId="6970918F" w14:textId="77777777" w:rsidR="0072538A" w:rsidRPr="001E55F9" w:rsidRDefault="0072538A" w:rsidP="001E55F9">
            <w:pPr>
              <w:spacing w:after="0" w:line="240" w:lineRule="auto"/>
              <w:jc w:val="center"/>
              <w:rPr>
                <w:rFonts w:ascii="Garamond" w:eastAsia="Times New Roman" w:hAnsi="Garamond" w:cs="Times New Roman"/>
                <w:b/>
                <w:bCs/>
                <w:color w:val="000000"/>
                <w:kern w:val="0"/>
                <w14:ligatures w14:val="none"/>
              </w:rPr>
            </w:pPr>
            <w:r w:rsidRPr="001E55F9">
              <w:rPr>
                <w:rFonts w:ascii="Garamond" w:eastAsia="Times New Roman" w:hAnsi="Garamond" w:cs="Times New Roman"/>
                <w:b/>
                <w:bCs/>
                <w:color w:val="000000"/>
                <w:kern w:val="0"/>
                <w14:ligatures w14:val="none"/>
              </w:rPr>
              <w:t>4</w:t>
            </w:r>
          </w:p>
        </w:tc>
        <w:tc>
          <w:tcPr>
            <w:tcW w:w="8303" w:type="dxa"/>
            <w:shd w:val="clear" w:color="000000" w:fill="D9D9D9"/>
            <w:vAlign w:val="center"/>
            <w:hideMark/>
          </w:tcPr>
          <w:p w14:paraId="1E8D1C81" w14:textId="77777777" w:rsidR="0072538A" w:rsidRPr="001E55F9" w:rsidRDefault="0072538A" w:rsidP="001E55F9">
            <w:pPr>
              <w:spacing w:after="0" w:line="240" w:lineRule="auto"/>
              <w:jc w:val="both"/>
              <w:rPr>
                <w:rFonts w:ascii="Garamond" w:eastAsia="Times New Roman" w:hAnsi="Garamond" w:cs="Times New Roman"/>
                <w:b/>
                <w:bCs/>
                <w:color w:val="000000"/>
                <w:kern w:val="0"/>
                <w:lang w:val="es-DO"/>
                <w14:ligatures w14:val="none"/>
              </w:rPr>
            </w:pPr>
            <w:r w:rsidRPr="001E55F9">
              <w:rPr>
                <w:rFonts w:ascii="Garamond" w:eastAsia="Times New Roman" w:hAnsi="Garamond" w:cs="Times New Roman"/>
                <w:b/>
                <w:bCs/>
                <w:color w:val="000000"/>
                <w:kern w:val="0"/>
                <w:lang w:val="es-DO"/>
                <w14:ligatures w14:val="none"/>
              </w:rPr>
              <w:t>Especificaciones de la tarjeta de identidad digital</w:t>
            </w:r>
          </w:p>
        </w:tc>
      </w:tr>
      <w:tr w:rsidR="0072538A" w:rsidRPr="001E55F9" w14:paraId="6F234F2D" w14:textId="77777777" w:rsidTr="001E55F9">
        <w:trPr>
          <w:trHeight w:val="576"/>
          <w:jc w:val="center"/>
        </w:trPr>
        <w:tc>
          <w:tcPr>
            <w:tcW w:w="1052" w:type="dxa"/>
            <w:shd w:val="clear" w:color="auto" w:fill="auto"/>
            <w:vAlign w:val="center"/>
            <w:hideMark/>
          </w:tcPr>
          <w:p w14:paraId="45B71B87"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4.2</w:t>
            </w:r>
          </w:p>
        </w:tc>
        <w:tc>
          <w:tcPr>
            <w:tcW w:w="8303" w:type="dxa"/>
            <w:shd w:val="clear" w:color="auto" w:fill="auto"/>
            <w:vAlign w:val="center"/>
            <w:hideMark/>
          </w:tcPr>
          <w:p w14:paraId="1CA7DF04" w14:textId="26EC58C6"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xml:space="preserve">Estar preparada para cumplir con el </w:t>
            </w:r>
            <w:r w:rsidR="00A737A5" w:rsidRPr="001E55F9">
              <w:rPr>
                <w:rFonts w:ascii="Garamond" w:eastAsia="Times New Roman" w:hAnsi="Garamond" w:cs="Times New Roman"/>
                <w:color w:val="000000"/>
                <w:kern w:val="0"/>
                <w:lang w:val="es-DO"/>
                <w14:ligatures w14:val="none"/>
              </w:rPr>
              <w:t>estándar</w:t>
            </w:r>
            <w:r w:rsidRPr="001E55F9">
              <w:rPr>
                <w:rFonts w:ascii="Garamond" w:eastAsia="Times New Roman" w:hAnsi="Garamond" w:cs="Times New Roman"/>
                <w:color w:val="000000"/>
                <w:kern w:val="0"/>
                <w:lang w:val="es-DO"/>
                <w14:ligatures w14:val="none"/>
              </w:rPr>
              <w:t xml:space="preserve"> de la OACI (“Guiding Core Principles for the Development of Digital Travel Credential (DTC) de octubre de 2020”</w:t>
            </w:r>
          </w:p>
        </w:tc>
      </w:tr>
      <w:tr w:rsidR="0072538A" w:rsidRPr="001E55F9" w14:paraId="007E993A" w14:textId="77777777" w:rsidTr="001E55F9">
        <w:trPr>
          <w:trHeight w:val="1932"/>
          <w:jc w:val="center"/>
        </w:trPr>
        <w:tc>
          <w:tcPr>
            <w:tcW w:w="1052" w:type="dxa"/>
            <w:shd w:val="clear" w:color="auto" w:fill="auto"/>
            <w:vAlign w:val="center"/>
            <w:hideMark/>
          </w:tcPr>
          <w:p w14:paraId="38A1706D"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t>4.5</w:t>
            </w:r>
          </w:p>
        </w:tc>
        <w:tc>
          <w:tcPr>
            <w:tcW w:w="8303" w:type="dxa"/>
            <w:shd w:val="clear" w:color="auto" w:fill="auto"/>
            <w:vAlign w:val="center"/>
            <w:hideMark/>
          </w:tcPr>
          <w:p w14:paraId="2462E1D6" w14:textId="61DA9729"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xml:space="preserve">Los datos entregados </w:t>
            </w:r>
            <w:r w:rsidR="00A737A5" w:rsidRPr="001E55F9">
              <w:rPr>
                <w:rFonts w:ascii="Garamond" w:eastAsia="Times New Roman" w:hAnsi="Garamond" w:cs="Times New Roman"/>
                <w:color w:val="000000"/>
                <w:kern w:val="0"/>
                <w:lang w:val="es-DO"/>
                <w14:ligatures w14:val="none"/>
              </w:rPr>
              <w:t>deberán</w:t>
            </w:r>
            <w:r w:rsidRPr="001E55F9">
              <w:rPr>
                <w:rFonts w:ascii="Garamond" w:eastAsia="Times New Roman" w:hAnsi="Garamond" w:cs="Times New Roman"/>
                <w:color w:val="000000"/>
                <w:kern w:val="0"/>
                <w:lang w:val="es-DO"/>
                <w14:ligatures w14:val="none"/>
              </w:rPr>
              <w:t xml:space="preserve"> ser firmados </w:t>
            </w:r>
            <w:r w:rsidR="00A737A5" w:rsidRPr="001E55F9">
              <w:rPr>
                <w:rFonts w:ascii="Garamond" w:eastAsia="Times New Roman" w:hAnsi="Garamond" w:cs="Times New Roman"/>
                <w:color w:val="000000"/>
                <w:kern w:val="0"/>
                <w:lang w:val="es-DO"/>
                <w14:ligatures w14:val="none"/>
              </w:rPr>
              <w:t>electrónicamente</w:t>
            </w:r>
            <w:r w:rsidRPr="001E55F9">
              <w:rPr>
                <w:rFonts w:ascii="Garamond" w:eastAsia="Times New Roman" w:hAnsi="Garamond" w:cs="Times New Roman"/>
                <w:color w:val="000000"/>
                <w:kern w:val="0"/>
                <w:lang w:val="es-DO"/>
                <w14:ligatures w14:val="none"/>
              </w:rPr>
              <w:t xml:space="preserve">. Esta firma </w:t>
            </w:r>
            <w:r w:rsidR="00A737A5" w:rsidRPr="001E55F9">
              <w:rPr>
                <w:rFonts w:ascii="Garamond" w:eastAsia="Times New Roman" w:hAnsi="Garamond" w:cs="Times New Roman"/>
                <w:color w:val="000000"/>
                <w:kern w:val="0"/>
                <w:lang w:val="es-DO"/>
                <w14:ligatures w14:val="none"/>
              </w:rPr>
              <w:t>electrónica</w:t>
            </w:r>
            <w:r w:rsidRPr="001E55F9">
              <w:rPr>
                <w:rFonts w:ascii="Garamond" w:eastAsia="Times New Roman" w:hAnsi="Garamond" w:cs="Times New Roman"/>
                <w:color w:val="000000"/>
                <w:kern w:val="0"/>
                <w:lang w:val="es-DO"/>
                <w14:ligatures w14:val="none"/>
              </w:rPr>
              <w:t xml:space="preserve"> certificada de los datos </w:t>
            </w:r>
            <w:r w:rsidR="00A737A5" w:rsidRPr="001E55F9">
              <w:rPr>
                <w:rFonts w:ascii="Garamond" w:eastAsia="Times New Roman" w:hAnsi="Garamond" w:cs="Times New Roman"/>
                <w:color w:val="000000"/>
                <w:kern w:val="0"/>
                <w:lang w:val="es-DO"/>
                <w14:ligatures w14:val="none"/>
              </w:rPr>
              <w:t>permitirá</w:t>
            </w:r>
            <w:r w:rsidRPr="001E55F9">
              <w:rPr>
                <w:rFonts w:ascii="Garamond" w:eastAsia="Times New Roman" w:hAnsi="Garamond" w:cs="Times New Roman"/>
                <w:color w:val="000000"/>
                <w:kern w:val="0"/>
                <w:lang w:val="es-DO"/>
                <w14:ligatures w14:val="none"/>
              </w:rPr>
              <w:t xml:space="preserve"> que terceros puedan validar la integridad y procedencia de los datos que presenta el ciudadano. Los datos entregados </w:t>
            </w:r>
            <w:r w:rsidR="00A737A5" w:rsidRPr="001E55F9">
              <w:rPr>
                <w:rFonts w:ascii="Garamond" w:eastAsia="Times New Roman" w:hAnsi="Garamond" w:cs="Times New Roman"/>
                <w:color w:val="000000"/>
                <w:kern w:val="0"/>
                <w:lang w:val="es-DO"/>
                <w14:ligatures w14:val="none"/>
              </w:rPr>
              <w:t>deberán</w:t>
            </w:r>
            <w:r w:rsidRPr="001E55F9">
              <w:rPr>
                <w:rFonts w:ascii="Garamond" w:eastAsia="Times New Roman" w:hAnsi="Garamond" w:cs="Times New Roman"/>
                <w:color w:val="000000"/>
                <w:kern w:val="0"/>
                <w:lang w:val="es-DO"/>
                <w14:ligatures w14:val="none"/>
              </w:rPr>
              <w:t xml:space="preserve"> ser firmados </w:t>
            </w:r>
            <w:r w:rsidR="00A737A5" w:rsidRPr="001E55F9">
              <w:rPr>
                <w:rFonts w:ascii="Garamond" w:eastAsia="Times New Roman" w:hAnsi="Garamond" w:cs="Times New Roman"/>
                <w:color w:val="000000"/>
                <w:kern w:val="0"/>
                <w:lang w:val="es-DO"/>
                <w14:ligatures w14:val="none"/>
              </w:rPr>
              <w:t>electrónicamente</w:t>
            </w:r>
            <w:r w:rsidRPr="001E55F9">
              <w:rPr>
                <w:rFonts w:ascii="Garamond" w:eastAsia="Times New Roman" w:hAnsi="Garamond" w:cs="Times New Roman"/>
                <w:color w:val="000000"/>
                <w:kern w:val="0"/>
                <w:lang w:val="es-DO"/>
                <w14:ligatures w14:val="none"/>
              </w:rPr>
              <w:t xml:space="preserve"> por la JCE. Esta firma </w:t>
            </w:r>
            <w:r w:rsidR="00A737A5" w:rsidRPr="001E55F9">
              <w:rPr>
                <w:rFonts w:ascii="Garamond" w:eastAsia="Times New Roman" w:hAnsi="Garamond" w:cs="Times New Roman"/>
                <w:color w:val="000000"/>
                <w:kern w:val="0"/>
                <w:lang w:val="es-DO"/>
                <w14:ligatures w14:val="none"/>
              </w:rPr>
              <w:t>electrónica</w:t>
            </w:r>
            <w:r w:rsidRPr="001E55F9">
              <w:rPr>
                <w:rFonts w:ascii="Garamond" w:eastAsia="Times New Roman" w:hAnsi="Garamond" w:cs="Times New Roman"/>
                <w:color w:val="000000"/>
                <w:kern w:val="0"/>
                <w:lang w:val="es-DO"/>
                <w14:ligatures w14:val="none"/>
              </w:rPr>
              <w:t xml:space="preserve"> certificada de los datos </w:t>
            </w:r>
            <w:r w:rsidR="00A737A5" w:rsidRPr="001E55F9">
              <w:rPr>
                <w:rFonts w:ascii="Garamond" w:eastAsia="Times New Roman" w:hAnsi="Garamond" w:cs="Times New Roman"/>
                <w:color w:val="000000"/>
                <w:kern w:val="0"/>
                <w:lang w:val="es-DO"/>
                <w14:ligatures w14:val="none"/>
              </w:rPr>
              <w:t xml:space="preserve">permitirá </w:t>
            </w:r>
            <w:r w:rsidRPr="001E55F9">
              <w:rPr>
                <w:rFonts w:ascii="Garamond" w:eastAsia="Times New Roman" w:hAnsi="Garamond" w:cs="Times New Roman"/>
                <w:color w:val="000000"/>
                <w:kern w:val="0"/>
                <w:lang w:val="es-DO"/>
                <w14:ligatures w14:val="none"/>
              </w:rPr>
              <w:t xml:space="preserve">que terceros puedan validar la integridad y procedencia de los datos que presenta el ciudadano, tanto la firma de los datos como la </w:t>
            </w:r>
            <w:r w:rsidR="00A737A5" w:rsidRPr="001E55F9">
              <w:rPr>
                <w:rFonts w:ascii="Garamond" w:eastAsia="Times New Roman" w:hAnsi="Garamond" w:cs="Times New Roman"/>
                <w:color w:val="000000"/>
                <w:kern w:val="0"/>
                <w:lang w:val="es-DO"/>
                <w14:ligatures w14:val="none"/>
              </w:rPr>
              <w:t>validación</w:t>
            </w:r>
            <w:r w:rsidRPr="001E55F9">
              <w:rPr>
                <w:rFonts w:ascii="Garamond" w:eastAsia="Times New Roman" w:hAnsi="Garamond" w:cs="Times New Roman"/>
                <w:color w:val="000000"/>
                <w:kern w:val="0"/>
                <w:lang w:val="es-DO"/>
                <w14:ligatures w14:val="none"/>
              </w:rPr>
              <w:t xml:space="preserve"> de estos, se realizará usando los certificados </w:t>
            </w:r>
            <w:r w:rsidR="00A737A5" w:rsidRPr="001E55F9">
              <w:rPr>
                <w:rFonts w:ascii="Garamond" w:eastAsia="Times New Roman" w:hAnsi="Garamond" w:cs="Times New Roman"/>
                <w:color w:val="000000"/>
                <w:kern w:val="0"/>
                <w:lang w:val="es-DO"/>
                <w14:ligatures w14:val="none"/>
              </w:rPr>
              <w:t>electrónicos</w:t>
            </w:r>
            <w:r w:rsidRPr="001E55F9">
              <w:rPr>
                <w:rFonts w:ascii="Garamond" w:eastAsia="Times New Roman" w:hAnsi="Garamond" w:cs="Times New Roman"/>
                <w:color w:val="000000"/>
                <w:kern w:val="0"/>
                <w:lang w:val="es-DO"/>
                <w14:ligatures w14:val="none"/>
              </w:rPr>
              <w:t xml:space="preserve"> administrados por la JCE, como Autoridad Certificadora descrita en el apartado Infraestructura de clave </w:t>
            </w:r>
            <w:r w:rsidR="00A737A5" w:rsidRPr="001E55F9">
              <w:rPr>
                <w:rFonts w:ascii="Garamond" w:eastAsia="Times New Roman" w:hAnsi="Garamond" w:cs="Times New Roman"/>
                <w:color w:val="000000"/>
                <w:kern w:val="0"/>
                <w:lang w:val="es-DO"/>
                <w14:ligatures w14:val="none"/>
              </w:rPr>
              <w:t>pública</w:t>
            </w:r>
            <w:r w:rsidRPr="001E55F9">
              <w:rPr>
                <w:rFonts w:ascii="Garamond" w:eastAsia="Times New Roman" w:hAnsi="Garamond" w:cs="Times New Roman"/>
                <w:color w:val="000000"/>
                <w:kern w:val="0"/>
                <w:lang w:val="es-DO"/>
                <w14:ligatures w14:val="none"/>
              </w:rPr>
              <w:t>.</w:t>
            </w:r>
          </w:p>
        </w:tc>
      </w:tr>
      <w:tr w:rsidR="0072538A" w:rsidRPr="001E55F9" w14:paraId="170DC073" w14:textId="77777777" w:rsidTr="001E55F9">
        <w:trPr>
          <w:trHeight w:val="288"/>
          <w:jc w:val="center"/>
        </w:trPr>
        <w:tc>
          <w:tcPr>
            <w:tcW w:w="1052" w:type="dxa"/>
            <w:shd w:val="clear" w:color="000000" w:fill="D9D9D9"/>
            <w:vAlign w:val="center"/>
            <w:hideMark/>
          </w:tcPr>
          <w:p w14:paraId="13C8E851" w14:textId="77777777" w:rsidR="0072538A" w:rsidRPr="001E55F9" w:rsidRDefault="0072538A" w:rsidP="001E55F9">
            <w:pPr>
              <w:spacing w:after="0" w:line="240" w:lineRule="auto"/>
              <w:jc w:val="center"/>
              <w:rPr>
                <w:rFonts w:ascii="Garamond" w:eastAsia="Times New Roman" w:hAnsi="Garamond" w:cs="Times New Roman"/>
                <w:b/>
                <w:bCs/>
                <w:color w:val="000000"/>
                <w:kern w:val="0"/>
                <w14:ligatures w14:val="none"/>
              </w:rPr>
            </w:pPr>
            <w:r w:rsidRPr="001E55F9">
              <w:rPr>
                <w:rFonts w:ascii="Garamond" w:eastAsia="Times New Roman" w:hAnsi="Garamond" w:cs="Times New Roman"/>
                <w:b/>
                <w:bCs/>
                <w:color w:val="000000"/>
                <w:kern w:val="0"/>
                <w14:ligatures w14:val="none"/>
              </w:rPr>
              <w:t>4.7</w:t>
            </w:r>
          </w:p>
        </w:tc>
        <w:tc>
          <w:tcPr>
            <w:tcW w:w="8303" w:type="dxa"/>
            <w:shd w:val="clear" w:color="000000" w:fill="D9D9D9"/>
            <w:vAlign w:val="center"/>
            <w:hideMark/>
          </w:tcPr>
          <w:p w14:paraId="1D851F48" w14:textId="77777777" w:rsidR="0072538A" w:rsidRPr="001E55F9" w:rsidRDefault="0072538A" w:rsidP="001E55F9">
            <w:pPr>
              <w:spacing w:after="0" w:line="240" w:lineRule="auto"/>
              <w:jc w:val="both"/>
              <w:rPr>
                <w:rFonts w:ascii="Garamond" w:eastAsia="Times New Roman" w:hAnsi="Garamond" w:cs="Times New Roman"/>
                <w:b/>
                <w:bCs/>
                <w:color w:val="000000"/>
                <w:kern w:val="0"/>
                <w:lang w:val="es-DO"/>
                <w14:ligatures w14:val="none"/>
              </w:rPr>
            </w:pPr>
            <w:r w:rsidRPr="001E55F9">
              <w:rPr>
                <w:rFonts w:ascii="Garamond" w:eastAsia="Times New Roman" w:hAnsi="Garamond" w:cs="Times New Roman"/>
                <w:b/>
                <w:bCs/>
                <w:color w:val="000000"/>
                <w:kern w:val="0"/>
                <w:lang w:val="es-DO"/>
                <w14:ligatures w14:val="none"/>
              </w:rPr>
              <w:t>Aspectos generales de la tarjeta digital</w:t>
            </w:r>
          </w:p>
        </w:tc>
      </w:tr>
      <w:tr w:rsidR="0072538A" w:rsidRPr="001E55F9" w14:paraId="1D37C642" w14:textId="77777777" w:rsidTr="001E55F9">
        <w:trPr>
          <w:trHeight w:val="1872"/>
          <w:jc w:val="center"/>
        </w:trPr>
        <w:tc>
          <w:tcPr>
            <w:tcW w:w="1052" w:type="dxa"/>
            <w:shd w:val="clear" w:color="auto" w:fill="auto"/>
            <w:vAlign w:val="center"/>
            <w:hideMark/>
          </w:tcPr>
          <w:p w14:paraId="059CA8DA" w14:textId="77777777" w:rsidR="0072538A" w:rsidRPr="001E55F9" w:rsidRDefault="0072538A" w:rsidP="001E55F9">
            <w:pPr>
              <w:spacing w:after="0" w:line="240" w:lineRule="auto"/>
              <w:jc w:val="center"/>
              <w:rPr>
                <w:rFonts w:ascii="Garamond" w:eastAsia="Times New Roman" w:hAnsi="Garamond" w:cs="Times New Roman"/>
                <w:color w:val="000000"/>
                <w:kern w:val="0"/>
                <w14:ligatures w14:val="none"/>
              </w:rPr>
            </w:pPr>
            <w:r w:rsidRPr="001E55F9">
              <w:rPr>
                <w:rFonts w:ascii="Garamond" w:eastAsia="Times New Roman" w:hAnsi="Garamond" w:cs="Times New Roman"/>
                <w:color w:val="000000"/>
                <w:kern w:val="0"/>
                <w14:ligatures w14:val="none"/>
              </w:rPr>
              <w:lastRenderedPageBreak/>
              <w:t>4.7.2</w:t>
            </w:r>
          </w:p>
        </w:tc>
        <w:tc>
          <w:tcPr>
            <w:tcW w:w="8303" w:type="dxa"/>
            <w:shd w:val="clear" w:color="auto" w:fill="auto"/>
            <w:vAlign w:val="center"/>
            <w:hideMark/>
          </w:tcPr>
          <w:p w14:paraId="66065D57" w14:textId="52A913B5" w:rsidR="0072538A" w:rsidRPr="001E55F9" w:rsidRDefault="0072538A" w:rsidP="001E55F9">
            <w:pPr>
              <w:spacing w:after="0" w:line="240" w:lineRule="auto"/>
              <w:jc w:val="both"/>
              <w:rPr>
                <w:rFonts w:ascii="Garamond" w:eastAsia="Times New Roman" w:hAnsi="Garamond" w:cs="Times New Roman"/>
                <w:color w:val="000000"/>
                <w:kern w:val="0"/>
                <w:lang w:val="es-DO"/>
                <w14:ligatures w14:val="none"/>
              </w:rPr>
            </w:pPr>
            <w:r w:rsidRPr="001E55F9">
              <w:rPr>
                <w:rFonts w:ascii="Garamond" w:eastAsia="Times New Roman" w:hAnsi="Garamond" w:cs="Times New Roman"/>
                <w:color w:val="000000"/>
                <w:kern w:val="0"/>
                <w:lang w:val="es-DO"/>
                <w14:ligatures w14:val="none"/>
              </w:rPr>
              <w:t xml:space="preserve">El </w:t>
            </w:r>
            <w:r w:rsidR="00E63D20" w:rsidRPr="001E55F9">
              <w:rPr>
                <w:rFonts w:ascii="Garamond" w:eastAsia="Times New Roman" w:hAnsi="Garamond" w:cs="Times New Roman"/>
                <w:color w:val="000000"/>
                <w:kern w:val="0"/>
                <w:lang w:val="es-DO"/>
                <w14:ligatures w14:val="none"/>
              </w:rPr>
              <w:t>ciudadano</w:t>
            </w:r>
            <w:r w:rsidRPr="001E55F9">
              <w:rPr>
                <w:rFonts w:ascii="Garamond" w:eastAsia="Times New Roman" w:hAnsi="Garamond" w:cs="Times New Roman"/>
                <w:color w:val="000000"/>
                <w:kern w:val="0"/>
                <w:lang w:val="es-DO"/>
                <w14:ligatures w14:val="none"/>
              </w:rPr>
              <w:t xml:space="preserve"> debe tener acceso a un portal donde pueda actualizar sus credenciales, cancelarlas, inspeccionar los accesos a su identidad. La </w:t>
            </w:r>
            <w:r w:rsidR="00E63D20" w:rsidRPr="001E55F9">
              <w:rPr>
                <w:rFonts w:ascii="Garamond" w:eastAsia="Times New Roman" w:hAnsi="Garamond" w:cs="Times New Roman"/>
                <w:color w:val="000000"/>
                <w:kern w:val="0"/>
                <w:lang w:val="es-DO"/>
                <w14:ligatures w14:val="none"/>
              </w:rPr>
              <w:t>solución</w:t>
            </w:r>
            <w:r w:rsidRPr="001E55F9">
              <w:rPr>
                <w:rFonts w:ascii="Garamond" w:eastAsia="Times New Roman" w:hAnsi="Garamond" w:cs="Times New Roman"/>
                <w:color w:val="000000"/>
                <w:kern w:val="0"/>
                <w:lang w:val="es-DO"/>
                <w14:ligatures w14:val="none"/>
              </w:rPr>
              <w:t xml:space="preserve"> debe permitir al ciudadano el acceso a un portal donde pueda actualizar sus credenciales, cancelar su aplicación, inspeccionar los accesos a su identidad y en general observar todas las transacciones que ha realizado con la misma. Se deben poder validar todas las operaciones realizadas con su identidad incluyendo la fecha y hora de las mismas. Debe tener la capacidad de mostrar el tipo de acceso aun si es hecho desde aplicaciones de terceros.  Deben gestionarse todos los eventos del ciclo de vida y consultas.</w:t>
            </w:r>
          </w:p>
        </w:tc>
      </w:tr>
    </w:tbl>
    <w:p w14:paraId="6705C956" w14:textId="77777777" w:rsidR="005574C0" w:rsidRPr="001E55F9" w:rsidRDefault="005574C0" w:rsidP="001E55F9">
      <w:pPr>
        <w:spacing w:after="0" w:line="240" w:lineRule="auto"/>
        <w:jc w:val="both"/>
        <w:rPr>
          <w:rFonts w:ascii="Garamond" w:hAnsi="Garamond"/>
          <w:lang w:val="es-DO"/>
        </w:rPr>
      </w:pPr>
    </w:p>
    <w:sectPr w:rsidR="005574C0" w:rsidRPr="001E55F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38F4" w14:textId="77777777" w:rsidR="009715EB" w:rsidRDefault="009715EB" w:rsidP="00E1697E">
      <w:pPr>
        <w:spacing w:after="0" w:line="240" w:lineRule="auto"/>
      </w:pPr>
      <w:r>
        <w:separator/>
      </w:r>
    </w:p>
  </w:endnote>
  <w:endnote w:type="continuationSeparator" w:id="0">
    <w:p w14:paraId="4C12F554" w14:textId="77777777" w:rsidR="009715EB" w:rsidRDefault="009715EB" w:rsidP="00E1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922078"/>
      <w:docPartObj>
        <w:docPartGallery w:val="Page Numbers (Bottom of Page)"/>
        <w:docPartUnique/>
      </w:docPartObj>
    </w:sdtPr>
    <w:sdtEndPr>
      <w:rPr>
        <w:rFonts w:ascii="Garamond" w:hAnsi="Garamond"/>
      </w:rPr>
    </w:sdtEndPr>
    <w:sdtContent>
      <w:p w14:paraId="7960F1EF" w14:textId="69D6F8E8" w:rsidR="00E1697E" w:rsidRPr="001E55F9" w:rsidRDefault="00E1697E">
        <w:pPr>
          <w:pStyle w:val="Piedepgina"/>
          <w:jc w:val="right"/>
          <w:rPr>
            <w:rFonts w:ascii="Garamond" w:hAnsi="Garamond"/>
          </w:rPr>
        </w:pPr>
        <w:r w:rsidRPr="001E55F9">
          <w:rPr>
            <w:rFonts w:ascii="Garamond" w:hAnsi="Garamond"/>
          </w:rPr>
          <w:fldChar w:fldCharType="begin"/>
        </w:r>
        <w:r w:rsidRPr="001E55F9">
          <w:rPr>
            <w:rFonts w:ascii="Garamond" w:hAnsi="Garamond"/>
          </w:rPr>
          <w:instrText>PAGE   \* MERGEFORMAT</w:instrText>
        </w:r>
        <w:r w:rsidRPr="001E55F9">
          <w:rPr>
            <w:rFonts w:ascii="Garamond" w:hAnsi="Garamond"/>
          </w:rPr>
          <w:fldChar w:fldCharType="separate"/>
        </w:r>
        <w:r w:rsidRPr="001E55F9">
          <w:rPr>
            <w:rFonts w:ascii="Garamond" w:hAnsi="Garamond"/>
            <w:lang w:val="es-ES"/>
          </w:rPr>
          <w:t>2</w:t>
        </w:r>
        <w:r w:rsidRPr="001E55F9">
          <w:rPr>
            <w:rFonts w:ascii="Garamond" w:hAnsi="Garamond"/>
          </w:rPr>
          <w:fldChar w:fldCharType="end"/>
        </w:r>
      </w:p>
    </w:sdtContent>
  </w:sdt>
  <w:p w14:paraId="2B9C9D74" w14:textId="77777777" w:rsidR="00E1697E" w:rsidRDefault="00E169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25F8" w14:textId="77777777" w:rsidR="009715EB" w:rsidRDefault="009715EB" w:rsidP="00E1697E">
      <w:pPr>
        <w:spacing w:after="0" w:line="240" w:lineRule="auto"/>
      </w:pPr>
      <w:r>
        <w:separator/>
      </w:r>
    </w:p>
  </w:footnote>
  <w:footnote w:type="continuationSeparator" w:id="0">
    <w:p w14:paraId="40F0716F" w14:textId="77777777" w:rsidR="009715EB" w:rsidRDefault="009715EB" w:rsidP="00E169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8A"/>
    <w:rsid w:val="000D03D9"/>
    <w:rsid w:val="001B331B"/>
    <w:rsid w:val="001E55F9"/>
    <w:rsid w:val="005546A6"/>
    <w:rsid w:val="005574C0"/>
    <w:rsid w:val="00646BB5"/>
    <w:rsid w:val="0072538A"/>
    <w:rsid w:val="00866D98"/>
    <w:rsid w:val="009715EB"/>
    <w:rsid w:val="009C5CB3"/>
    <w:rsid w:val="00A737A5"/>
    <w:rsid w:val="00AC3BE6"/>
    <w:rsid w:val="00DD7B35"/>
    <w:rsid w:val="00E1697E"/>
    <w:rsid w:val="00E32E7D"/>
    <w:rsid w:val="00E6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1B62"/>
  <w15:chartTrackingRefBased/>
  <w15:docId w15:val="{487E773C-0B54-4523-AEBD-1518CFA6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38A"/>
  </w:style>
  <w:style w:type="paragraph" w:styleId="Ttulo1">
    <w:name w:val="heading 1"/>
    <w:basedOn w:val="Normal"/>
    <w:next w:val="Normal"/>
    <w:link w:val="Ttulo1Car"/>
    <w:uiPriority w:val="9"/>
    <w:qFormat/>
    <w:rsid w:val="007253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253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2538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2538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2538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253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53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53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53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538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2538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2538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2538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2538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253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53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53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538A"/>
    <w:rPr>
      <w:rFonts w:eastAsiaTheme="majorEastAsia" w:cstheme="majorBidi"/>
      <w:color w:val="272727" w:themeColor="text1" w:themeTint="D8"/>
    </w:rPr>
  </w:style>
  <w:style w:type="paragraph" w:styleId="Ttulo">
    <w:name w:val="Title"/>
    <w:basedOn w:val="Normal"/>
    <w:next w:val="Normal"/>
    <w:link w:val="TtuloCar"/>
    <w:uiPriority w:val="10"/>
    <w:qFormat/>
    <w:rsid w:val="00725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53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53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53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538A"/>
    <w:pPr>
      <w:spacing w:before="160"/>
      <w:jc w:val="center"/>
    </w:pPr>
    <w:rPr>
      <w:i/>
      <w:iCs/>
      <w:color w:val="404040" w:themeColor="text1" w:themeTint="BF"/>
    </w:rPr>
  </w:style>
  <w:style w:type="character" w:customStyle="1" w:styleId="CitaCar">
    <w:name w:val="Cita Car"/>
    <w:basedOn w:val="Fuentedeprrafopredeter"/>
    <w:link w:val="Cita"/>
    <w:uiPriority w:val="29"/>
    <w:rsid w:val="0072538A"/>
    <w:rPr>
      <w:i/>
      <w:iCs/>
      <w:color w:val="404040" w:themeColor="text1" w:themeTint="BF"/>
    </w:rPr>
  </w:style>
  <w:style w:type="paragraph" w:styleId="Prrafodelista">
    <w:name w:val="List Paragraph"/>
    <w:basedOn w:val="Normal"/>
    <w:uiPriority w:val="34"/>
    <w:qFormat/>
    <w:rsid w:val="0072538A"/>
    <w:pPr>
      <w:ind w:left="720"/>
      <w:contextualSpacing/>
    </w:pPr>
  </w:style>
  <w:style w:type="character" w:styleId="nfasisintenso">
    <w:name w:val="Intense Emphasis"/>
    <w:basedOn w:val="Fuentedeprrafopredeter"/>
    <w:uiPriority w:val="21"/>
    <w:qFormat/>
    <w:rsid w:val="0072538A"/>
    <w:rPr>
      <w:i/>
      <w:iCs/>
      <w:color w:val="2F5496" w:themeColor="accent1" w:themeShade="BF"/>
    </w:rPr>
  </w:style>
  <w:style w:type="paragraph" w:styleId="Citadestacada">
    <w:name w:val="Intense Quote"/>
    <w:basedOn w:val="Normal"/>
    <w:next w:val="Normal"/>
    <w:link w:val="CitadestacadaCar"/>
    <w:uiPriority w:val="30"/>
    <w:qFormat/>
    <w:rsid w:val="00725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2538A"/>
    <w:rPr>
      <w:i/>
      <w:iCs/>
      <w:color w:val="2F5496" w:themeColor="accent1" w:themeShade="BF"/>
    </w:rPr>
  </w:style>
  <w:style w:type="character" w:styleId="Referenciaintensa">
    <w:name w:val="Intense Reference"/>
    <w:basedOn w:val="Fuentedeprrafopredeter"/>
    <w:uiPriority w:val="32"/>
    <w:qFormat/>
    <w:rsid w:val="0072538A"/>
    <w:rPr>
      <w:b/>
      <w:bCs/>
      <w:smallCaps/>
      <w:color w:val="2F5496" w:themeColor="accent1" w:themeShade="BF"/>
      <w:spacing w:val="5"/>
    </w:rPr>
  </w:style>
  <w:style w:type="paragraph" w:styleId="Encabezado">
    <w:name w:val="header"/>
    <w:basedOn w:val="Normal"/>
    <w:link w:val="EncabezadoCar"/>
    <w:uiPriority w:val="99"/>
    <w:unhideWhenUsed/>
    <w:rsid w:val="00E169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1697E"/>
  </w:style>
  <w:style w:type="paragraph" w:styleId="Piedepgina">
    <w:name w:val="footer"/>
    <w:basedOn w:val="Normal"/>
    <w:link w:val="PiedepginaCar"/>
    <w:uiPriority w:val="99"/>
    <w:unhideWhenUsed/>
    <w:rsid w:val="00E169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1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1370</Words>
  <Characters>7536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JCE</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Marcelino Reyes Ramirez</dc:creator>
  <cp:keywords/>
  <dc:description/>
  <cp:lastModifiedBy>Victor Antonio Diaz Peña</cp:lastModifiedBy>
  <cp:revision>7</cp:revision>
  <dcterms:created xsi:type="dcterms:W3CDTF">2025-05-09T01:53:00Z</dcterms:created>
  <dcterms:modified xsi:type="dcterms:W3CDTF">2025-05-13T17:46:00Z</dcterms:modified>
</cp:coreProperties>
</file>