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C39F" w14:textId="63AACF73" w:rsidR="0072538A" w:rsidRDefault="0072538A" w:rsidP="0099279D">
      <w:pPr>
        <w:spacing w:after="0" w:line="240" w:lineRule="auto"/>
        <w:jc w:val="center"/>
        <w:rPr>
          <w:rFonts w:ascii="Garamond" w:hAnsi="Garamond" w:cs="Times New Roman"/>
          <w:b/>
          <w:bCs/>
        </w:rPr>
      </w:pPr>
      <w:r w:rsidRPr="0099279D">
        <w:rPr>
          <w:rFonts w:ascii="Garamond" w:hAnsi="Garamond" w:cs="Times New Roman"/>
          <w:b/>
          <w:bCs/>
        </w:rPr>
        <w:t>LISTA DE REQUISITOS A CONSULTAR</w:t>
      </w:r>
      <w:r w:rsidR="00866D98" w:rsidRPr="0099279D">
        <w:rPr>
          <w:rFonts w:ascii="Garamond" w:hAnsi="Garamond" w:cs="Times New Roman"/>
          <w:b/>
          <w:bCs/>
        </w:rPr>
        <w:t xml:space="preserve"> POR CONSORCIO</w:t>
      </w:r>
    </w:p>
    <w:p w14:paraId="509C0AB8" w14:textId="77777777" w:rsidR="0099279D" w:rsidRPr="0099279D" w:rsidRDefault="0099279D" w:rsidP="0099279D">
      <w:pPr>
        <w:spacing w:after="0" w:line="240" w:lineRule="auto"/>
        <w:jc w:val="center"/>
        <w:rPr>
          <w:rFonts w:ascii="Garamond" w:hAnsi="Garamond" w:cs="Times New Roman"/>
          <w:b/>
          <w:bCs/>
        </w:rPr>
      </w:pPr>
    </w:p>
    <w:p w14:paraId="2EF4C95E" w14:textId="7F07A751" w:rsidR="0072538A" w:rsidRPr="0099279D" w:rsidRDefault="0072538A" w:rsidP="0099279D">
      <w:pPr>
        <w:spacing w:after="0" w:line="240" w:lineRule="auto"/>
        <w:jc w:val="both"/>
        <w:rPr>
          <w:rFonts w:ascii="Garamond" w:hAnsi="Garamond" w:cs="Times New Roman"/>
          <w:b/>
          <w:bCs/>
          <w:u w:val="single"/>
        </w:rPr>
      </w:pPr>
      <w:r w:rsidRPr="0099279D">
        <w:rPr>
          <w:rFonts w:ascii="Garamond" w:hAnsi="Garamond" w:cs="Times New Roman"/>
        </w:rPr>
        <w:t>En el marco del proceso de evaluación técnica y como parte de la verificación de las propuestas recibidas, a continuación, se presenta el listado de requisitos</w:t>
      </w:r>
      <w:r w:rsidR="00866D98" w:rsidRPr="0099279D">
        <w:rPr>
          <w:rFonts w:ascii="Garamond" w:hAnsi="Garamond" w:cs="Times New Roman"/>
        </w:rPr>
        <w:t xml:space="preserve"> para los cuales </w:t>
      </w:r>
      <w:r w:rsidRPr="0099279D">
        <w:rPr>
          <w:rFonts w:ascii="Garamond" w:hAnsi="Garamond" w:cs="Times New Roman"/>
          <w:b/>
          <w:bCs/>
          <w:u w:val="single"/>
        </w:rPr>
        <w:t xml:space="preserve">se requiere que </w:t>
      </w:r>
      <w:r w:rsidR="00866D98" w:rsidRPr="0099279D">
        <w:rPr>
          <w:rFonts w:ascii="Garamond" w:hAnsi="Garamond" w:cs="Times New Roman"/>
          <w:b/>
          <w:bCs/>
          <w:u w:val="single"/>
        </w:rPr>
        <w:t>los oferentes</w:t>
      </w:r>
      <w:r w:rsidRPr="0099279D">
        <w:rPr>
          <w:rFonts w:ascii="Garamond" w:hAnsi="Garamond" w:cs="Times New Roman"/>
          <w:b/>
          <w:bCs/>
          <w:u w:val="single"/>
        </w:rPr>
        <w:t xml:space="preserve"> proporcione</w:t>
      </w:r>
      <w:r w:rsidR="00866D98" w:rsidRPr="0099279D">
        <w:rPr>
          <w:rFonts w:ascii="Garamond" w:hAnsi="Garamond" w:cs="Times New Roman"/>
          <w:b/>
          <w:bCs/>
          <w:u w:val="single"/>
        </w:rPr>
        <w:t>n</w:t>
      </w:r>
      <w:r w:rsidRPr="0099279D">
        <w:rPr>
          <w:rFonts w:ascii="Garamond" w:hAnsi="Garamond" w:cs="Times New Roman"/>
          <w:b/>
          <w:bCs/>
          <w:u w:val="single"/>
        </w:rPr>
        <w:t xml:space="preserve"> las aclaraciones y/o explicaciones técnicas que</w:t>
      </w:r>
      <w:r w:rsidR="00866D98" w:rsidRPr="0099279D">
        <w:rPr>
          <w:rFonts w:ascii="Garamond" w:hAnsi="Garamond" w:cs="Times New Roman"/>
          <w:b/>
          <w:bCs/>
          <w:u w:val="single"/>
        </w:rPr>
        <w:t>, para cada requisito,</w:t>
      </w:r>
      <w:r w:rsidRPr="0099279D">
        <w:rPr>
          <w:rFonts w:ascii="Garamond" w:hAnsi="Garamond" w:cs="Times New Roman"/>
          <w:b/>
          <w:bCs/>
          <w:u w:val="single"/>
        </w:rPr>
        <w:t xml:space="preserve"> permitan verificar, validar y comprender que </w:t>
      </w:r>
      <w:r w:rsidR="00866D98" w:rsidRPr="0099279D">
        <w:rPr>
          <w:rFonts w:ascii="Garamond" w:hAnsi="Garamond" w:cs="Times New Roman"/>
          <w:b/>
          <w:bCs/>
          <w:u w:val="single"/>
        </w:rPr>
        <w:t>se satisfacen</w:t>
      </w:r>
      <w:r w:rsidRPr="0099279D">
        <w:rPr>
          <w:rFonts w:ascii="Garamond" w:hAnsi="Garamond" w:cs="Times New Roman"/>
          <w:b/>
          <w:bCs/>
          <w:u w:val="single"/>
        </w:rPr>
        <w:t xml:space="preserve"> de conformidad con lo ofertado</w:t>
      </w:r>
      <w:r w:rsidR="004B7773" w:rsidRPr="0099279D">
        <w:rPr>
          <w:rFonts w:ascii="Garamond" w:hAnsi="Garamond" w:cs="Times New Roman"/>
          <w:b/>
          <w:bCs/>
          <w:u w:val="single"/>
        </w:rPr>
        <w:t>.</w:t>
      </w:r>
    </w:p>
    <w:p w14:paraId="17943D82" w14:textId="77777777" w:rsidR="0072538A" w:rsidRPr="0099279D" w:rsidRDefault="0072538A" w:rsidP="0099279D">
      <w:pPr>
        <w:spacing w:after="0" w:line="240" w:lineRule="auto"/>
        <w:jc w:val="both"/>
        <w:rPr>
          <w:rFonts w:ascii="Garamond" w:hAnsi="Garamond" w:cs="Times New Roman"/>
        </w:rPr>
      </w:pPr>
    </w:p>
    <w:tbl>
      <w:tblPr>
        <w:tblW w:w="9265" w:type="dxa"/>
        <w:tblInd w:w="113" w:type="dxa"/>
        <w:tblLook w:val="04A0" w:firstRow="1" w:lastRow="0" w:firstColumn="1" w:lastColumn="0" w:noHBand="0" w:noVBand="1"/>
      </w:tblPr>
      <w:tblGrid>
        <w:gridCol w:w="1052"/>
        <w:gridCol w:w="8213"/>
      </w:tblGrid>
      <w:tr w:rsidR="0072538A" w:rsidRPr="0099279D" w14:paraId="21F385F0" w14:textId="77777777" w:rsidTr="0099279D">
        <w:trPr>
          <w:trHeight w:val="40"/>
        </w:trPr>
        <w:tc>
          <w:tcPr>
            <w:tcW w:w="92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851E98"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CONSORCIO EMDOC</w:t>
            </w:r>
          </w:p>
        </w:tc>
      </w:tr>
      <w:tr w:rsidR="0072538A" w:rsidRPr="0099279D" w14:paraId="1556E3DB" w14:textId="77777777" w:rsidTr="00AB1F83">
        <w:trPr>
          <w:trHeight w:val="288"/>
        </w:trPr>
        <w:tc>
          <w:tcPr>
            <w:tcW w:w="10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65FE10"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2.1</w:t>
            </w:r>
          </w:p>
        </w:tc>
        <w:tc>
          <w:tcPr>
            <w:tcW w:w="8213" w:type="dxa"/>
            <w:tcBorders>
              <w:top w:val="single" w:sz="4" w:space="0" w:color="auto"/>
              <w:left w:val="nil"/>
              <w:bottom w:val="single" w:sz="4" w:space="0" w:color="auto"/>
              <w:right w:val="single" w:sz="4" w:space="0" w:color="auto"/>
            </w:tcBorders>
            <w:shd w:val="clear" w:color="000000" w:fill="D9D9D9"/>
            <w:noWrap/>
            <w:vAlign w:val="center"/>
            <w:hideMark/>
          </w:tcPr>
          <w:p w14:paraId="61D0764A" w14:textId="77777777"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Especificaciones de máquina de impresión</w:t>
            </w:r>
          </w:p>
        </w:tc>
      </w:tr>
      <w:tr w:rsidR="0072538A" w:rsidRPr="0099279D" w14:paraId="42EB2665" w14:textId="77777777" w:rsidTr="00AB1F83">
        <w:trPr>
          <w:trHeight w:val="288"/>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416FFC69"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2.1.13</w:t>
            </w:r>
          </w:p>
        </w:tc>
        <w:tc>
          <w:tcPr>
            <w:tcW w:w="8213" w:type="dxa"/>
            <w:tcBorders>
              <w:top w:val="nil"/>
              <w:left w:val="nil"/>
              <w:bottom w:val="single" w:sz="4" w:space="0" w:color="auto"/>
              <w:right w:val="single" w:sz="4" w:space="0" w:color="auto"/>
            </w:tcBorders>
            <w:shd w:val="clear" w:color="auto" w:fill="auto"/>
            <w:vAlign w:val="center"/>
            <w:hideMark/>
          </w:tcPr>
          <w:p w14:paraId="0033164D"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La máquina debe tener su propio PC integrado con su propio sistema operativo y software de la máquina.</w:t>
            </w:r>
          </w:p>
        </w:tc>
      </w:tr>
      <w:tr w:rsidR="0072538A" w:rsidRPr="0099279D" w14:paraId="32641B0A" w14:textId="77777777" w:rsidTr="00AB1F83">
        <w:trPr>
          <w:trHeight w:val="288"/>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22CC0CA"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2.1.14</w:t>
            </w:r>
          </w:p>
        </w:tc>
        <w:tc>
          <w:tcPr>
            <w:tcW w:w="8213" w:type="dxa"/>
            <w:tcBorders>
              <w:top w:val="nil"/>
              <w:left w:val="nil"/>
              <w:bottom w:val="single" w:sz="4" w:space="0" w:color="auto"/>
              <w:right w:val="single" w:sz="4" w:space="0" w:color="auto"/>
            </w:tcBorders>
            <w:shd w:val="clear" w:color="auto" w:fill="auto"/>
            <w:vAlign w:val="center"/>
            <w:hideMark/>
          </w:tcPr>
          <w:p w14:paraId="19ECF448"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El sistema operativo de la PC debe ser WINDOWS. Las impresoras pueden ser WINDOWS o LINUX.</w:t>
            </w:r>
          </w:p>
        </w:tc>
      </w:tr>
      <w:tr w:rsidR="0072538A" w:rsidRPr="0099279D" w14:paraId="3AB2E1EC" w14:textId="77777777" w:rsidTr="00AB1F83">
        <w:trPr>
          <w:trHeight w:val="1152"/>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456E20E7"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2.1.22</w:t>
            </w:r>
          </w:p>
        </w:tc>
        <w:tc>
          <w:tcPr>
            <w:tcW w:w="8213" w:type="dxa"/>
            <w:tcBorders>
              <w:top w:val="nil"/>
              <w:left w:val="nil"/>
              <w:bottom w:val="single" w:sz="4" w:space="0" w:color="auto"/>
              <w:right w:val="single" w:sz="4" w:space="0" w:color="auto"/>
            </w:tcBorders>
            <w:shd w:val="clear" w:color="auto" w:fill="auto"/>
            <w:vAlign w:val="center"/>
            <w:hideMark/>
          </w:tcPr>
          <w:p w14:paraId="2CF128B1"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La calidad de las impresoras debe mantenerse a lo largo de los diez años de la contratación. Tendrán garantía mínima por dos (2) años. Cada oferente, debe indicar en su propuesta, la vida útil de las piezas de cada impresora que produce el láser y queda comprometido a que su solución de impresión mantendrá la calidad de las impresoras durante todo el tiempo que lo exige el contrato, obligándose a reemplazar lo necesario y las veces que sea conveniente para cumplir con esta exigencia de calidad de las impresoras.</w:t>
            </w:r>
          </w:p>
        </w:tc>
      </w:tr>
      <w:tr w:rsidR="0072538A" w:rsidRPr="0099279D" w14:paraId="34F5E3A0" w14:textId="77777777" w:rsidTr="00AB1F83">
        <w:trPr>
          <w:trHeight w:val="864"/>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B91E97B"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2.1.24</w:t>
            </w:r>
          </w:p>
        </w:tc>
        <w:tc>
          <w:tcPr>
            <w:tcW w:w="8213" w:type="dxa"/>
            <w:tcBorders>
              <w:top w:val="nil"/>
              <w:left w:val="nil"/>
              <w:bottom w:val="single" w:sz="4" w:space="0" w:color="auto"/>
              <w:right w:val="single" w:sz="4" w:space="0" w:color="auto"/>
            </w:tcBorders>
            <w:shd w:val="clear" w:color="auto" w:fill="auto"/>
            <w:vAlign w:val="center"/>
            <w:hideMark/>
          </w:tcPr>
          <w:p w14:paraId="27B71037"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El proveedor deberá incluir 230 lectores de chip sin contacto, y poner como opcional, la compra de lectores de forma individual. La caracteristicas del lector de tarjetas debe ser Lector para NFC Compatible con ISO 14443 Tipo A, Tipo B y Tarjetas Mifare 1k&amp;4k, ICAO 9303 con interoperabilidad OACI DOC 9303, ISO18013, PA, AA, BAC, EAC , SAC.</w:t>
            </w:r>
          </w:p>
        </w:tc>
      </w:tr>
      <w:tr w:rsidR="0072538A" w:rsidRPr="0099279D" w14:paraId="2D7B4759"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582A3C34"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2.2</w:t>
            </w:r>
          </w:p>
        </w:tc>
        <w:tc>
          <w:tcPr>
            <w:tcW w:w="8213" w:type="dxa"/>
            <w:tcBorders>
              <w:top w:val="nil"/>
              <w:left w:val="nil"/>
              <w:bottom w:val="single" w:sz="4" w:space="0" w:color="auto"/>
              <w:right w:val="single" w:sz="4" w:space="0" w:color="auto"/>
            </w:tcBorders>
            <w:shd w:val="clear" w:color="000000" w:fill="D9D9D9"/>
            <w:vAlign w:val="center"/>
            <w:hideMark/>
          </w:tcPr>
          <w:p w14:paraId="675470E1" w14:textId="77777777"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Personalización</w:t>
            </w:r>
          </w:p>
        </w:tc>
      </w:tr>
      <w:tr w:rsidR="0072538A" w:rsidRPr="0099279D" w14:paraId="7FC14340" w14:textId="77777777" w:rsidTr="00AB1F83">
        <w:trPr>
          <w:trHeight w:val="864"/>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6D6CF27A"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2.2.21</w:t>
            </w:r>
          </w:p>
        </w:tc>
        <w:tc>
          <w:tcPr>
            <w:tcW w:w="8213" w:type="dxa"/>
            <w:tcBorders>
              <w:top w:val="nil"/>
              <w:left w:val="nil"/>
              <w:bottom w:val="single" w:sz="4" w:space="0" w:color="auto"/>
              <w:right w:val="single" w:sz="4" w:space="0" w:color="auto"/>
            </w:tcBorders>
            <w:shd w:val="clear" w:color="auto" w:fill="auto"/>
            <w:vAlign w:val="center"/>
            <w:hideMark/>
          </w:tcPr>
          <w:p w14:paraId="079F27A9" w14:textId="6DFB1DE0"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xml:space="preserve">Los sistemas de </w:t>
            </w:r>
            <w:r w:rsidR="00E4310B" w:rsidRPr="0099279D">
              <w:rPr>
                <w:rFonts w:ascii="Garamond" w:eastAsia="Times New Roman" w:hAnsi="Garamond" w:cs="Times New Roman"/>
                <w:color w:val="000000"/>
                <w:kern w:val="0"/>
                <w14:ligatures w14:val="none"/>
              </w:rPr>
              <w:t>personalización</w:t>
            </w:r>
            <w:r w:rsidRPr="0099279D">
              <w:rPr>
                <w:rFonts w:ascii="Garamond" w:eastAsia="Times New Roman" w:hAnsi="Garamond" w:cs="Times New Roman"/>
                <w:color w:val="000000"/>
                <w:kern w:val="0"/>
                <w14:ligatures w14:val="none"/>
              </w:rPr>
              <w:t xml:space="preserve"> deben estar equipados con el software interno de </w:t>
            </w:r>
            <w:r w:rsidR="00E4310B" w:rsidRPr="0099279D">
              <w:rPr>
                <w:rFonts w:ascii="Garamond" w:eastAsia="Times New Roman" w:hAnsi="Garamond" w:cs="Times New Roman"/>
                <w:color w:val="000000"/>
                <w:kern w:val="0"/>
                <w14:ligatures w14:val="none"/>
              </w:rPr>
              <w:t>gestión</w:t>
            </w:r>
            <w:r w:rsidRPr="0099279D">
              <w:rPr>
                <w:rFonts w:ascii="Garamond" w:eastAsia="Times New Roman" w:hAnsi="Garamond" w:cs="Times New Roman"/>
                <w:color w:val="000000"/>
                <w:kern w:val="0"/>
                <w14:ligatures w14:val="none"/>
              </w:rPr>
              <w:t xml:space="preserve"> de datos, que proporciona interfaces de usuario claras e iguales para la </w:t>
            </w:r>
            <w:r w:rsidR="00E4310B" w:rsidRPr="0099279D">
              <w:rPr>
                <w:rFonts w:ascii="Garamond" w:eastAsia="Times New Roman" w:hAnsi="Garamond" w:cs="Times New Roman"/>
                <w:color w:val="000000"/>
                <w:kern w:val="0"/>
                <w14:ligatures w14:val="none"/>
              </w:rPr>
              <w:t>integración</w:t>
            </w:r>
            <w:r w:rsidRPr="0099279D">
              <w:rPr>
                <w:rFonts w:ascii="Garamond" w:eastAsia="Times New Roman" w:hAnsi="Garamond" w:cs="Times New Roman"/>
                <w:color w:val="000000"/>
                <w:kern w:val="0"/>
                <w14:ligatures w14:val="none"/>
              </w:rPr>
              <w:t xml:space="preserve"> en la red del proyecto. El equipo </w:t>
            </w:r>
            <w:r w:rsidR="00E4310B" w:rsidRPr="0099279D">
              <w:rPr>
                <w:rFonts w:ascii="Garamond" w:eastAsia="Times New Roman" w:hAnsi="Garamond" w:cs="Times New Roman"/>
                <w:color w:val="000000"/>
                <w:kern w:val="0"/>
                <w14:ligatures w14:val="none"/>
              </w:rPr>
              <w:t>deberá</w:t>
            </w:r>
            <w:r w:rsidRPr="0099279D">
              <w:rPr>
                <w:rFonts w:ascii="Garamond" w:eastAsia="Times New Roman" w:hAnsi="Garamond" w:cs="Times New Roman"/>
                <w:color w:val="000000"/>
                <w:kern w:val="0"/>
                <w14:ligatures w14:val="none"/>
              </w:rPr>
              <w:t xml:space="preserve"> preparar los datos para realizar la </w:t>
            </w:r>
            <w:r w:rsidR="00E4310B" w:rsidRPr="0099279D">
              <w:rPr>
                <w:rFonts w:ascii="Garamond" w:eastAsia="Times New Roman" w:hAnsi="Garamond" w:cs="Times New Roman"/>
                <w:color w:val="000000"/>
                <w:kern w:val="0"/>
                <w14:ligatures w14:val="none"/>
              </w:rPr>
              <w:t>personalización</w:t>
            </w:r>
            <w:r w:rsidRPr="0099279D">
              <w:rPr>
                <w:rFonts w:ascii="Garamond" w:eastAsia="Times New Roman" w:hAnsi="Garamond" w:cs="Times New Roman"/>
                <w:color w:val="000000"/>
                <w:kern w:val="0"/>
                <w14:ligatures w14:val="none"/>
              </w:rPr>
              <w:t xml:space="preserve"> de las credenciales de forma totalmente </w:t>
            </w:r>
            <w:r w:rsidR="00E4310B" w:rsidRPr="0099279D">
              <w:rPr>
                <w:rFonts w:ascii="Garamond" w:eastAsia="Times New Roman" w:hAnsi="Garamond" w:cs="Times New Roman"/>
                <w:color w:val="000000"/>
                <w:kern w:val="0"/>
                <w14:ligatures w14:val="none"/>
              </w:rPr>
              <w:t>automática</w:t>
            </w:r>
            <w:r w:rsidRPr="0099279D">
              <w:rPr>
                <w:rFonts w:ascii="Garamond" w:eastAsia="Times New Roman" w:hAnsi="Garamond" w:cs="Times New Roman"/>
                <w:color w:val="000000"/>
                <w:kern w:val="0"/>
                <w14:ligatures w14:val="none"/>
              </w:rPr>
              <w:t>.</w:t>
            </w:r>
          </w:p>
        </w:tc>
      </w:tr>
      <w:tr w:rsidR="0072538A" w:rsidRPr="0099279D" w14:paraId="4FE4DBBD"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343DEBAE"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3.1</w:t>
            </w:r>
          </w:p>
        </w:tc>
        <w:tc>
          <w:tcPr>
            <w:tcW w:w="8213" w:type="dxa"/>
            <w:tcBorders>
              <w:top w:val="nil"/>
              <w:left w:val="nil"/>
              <w:bottom w:val="single" w:sz="4" w:space="0" w:color="auto"/>
              <w:right w:val="single" w:sz="4" w:space="0" w:color="auto"/>
            </w:tcBorders>
            <w:shd w:val="clear" w:color="000000" w:fill="D9D9D9"/>
            <w:vAlign w:val="center"/>
            <w:hideMark/>
          </w:tcPr>
          <w:p w14:paraId="46874EBF" w14:textId="77777777"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Características generales de la PKI</w:t>
            </w:r>
          </w:p>
        </w:tc>
      </w:tr>
      <w:tr w:rsidR="0072538A" w:rsidRPr="0099279D" w14:paraId="5320E998" w14:textId="77777777" w:rsidTr="00AB1F83">
        <w:trPr>
          <w:trHeight w:val="144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19CEC026"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3.1.5</w:t>
            </w:r>
          </w:p>
        </w:tc>
        <w:tc>
          <w:tcPr>
            <w:tcW w:w="8213" w:type="dxa"/>
            <w:tcBorders>
              <w:top w:val="nil"/>
              <w:left w:val="nil"/>
              <w:bottom w:val="single" w:sz="4" w:space="0" w:color="auto"/>
              <w:right w:val="single" w:sz="4" w:space="0" w:color="auto"/>
            </w:tcBorders>
            <w:shd w:val="clear" w:color="auto" w:fill="auto"/>
            <w:vAlign w:val="center"/>
            <w:hideMark/>
          </w:tcPr>
          <w:p w14:paraId="2BAE2728"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El proveedor deberá proporcionar un portal para firma de documentos con el estándar ISO 32000-1, además de la integración a las aplicaciones de la JCE que permita firmar con certificados tanto en la cédula de identidad o externos .El portal para Firmar documentos debe manejar al menos tres tipos de roles: 1. Administrador, con todos los permisos, esta figura debe poder generar y/o enrolar Agentes Certificadores; 2. Agente Certificador con permisos para enrolar y/o generar certificados para los usuarios finales o firmantes; 3. Firmante, son los usuarios que podrán firmar los documentos.</w:t>
            </w:r>
          </w:p>
        </w:tc>
      </w:tr>
      <w:tr w:rsidR="0072538A" w:rsidRPr="0099279D" w14:paraId="0D35BEB5" w14:textId="77777777" w:rsidTr="007E72F3">
        <w:trPr>
          <w:trHeight w:val="144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30AE51AC"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3.1.10</w:t>
            </w:r>
          </w:p>
        </w:tc>
        <w:tc>
          <w:tcPr>
            <w:tcW w:w="8213" w:type="dxa"/>
            <w:tcBorders>
              <w:top w:val="nil"/>
              <w:left w:val="nil"/>
              <w:bottom w:val="single" w:sz="4" w:space="0" w:color="auto"/>
              <w:right w:val="single" w:sz="4" w:space="0" w:color="auto"/>
            </w:tcBorders>
            <w:shd w:val="clear" w:color="auto" w:fill="auto"/>
            <w:vAlign w:val="center"/>
            <w:hideMark/>
          </w:tcPr>
          <w:p w14:paraId="2A800B14"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El oferente deberá incluir en su propuesta, toda la infraestructura física necesaria para la implantación, ejecución y mantenimiento de la PKI, el conjunto de hardware y software en las instalaciones que indique la dirección de informática. El contrato de mantenimiento a cotizar será de dos (2) años. A partir de los dos años, la JCE podrá renovar el mantenimiento con el precio establecido del proveedor de forma anual. Para la solución de la PKI el ambiente productivo debe habilitarse en alta disponibilidad con 2 nodos activos en balanceo de carga, un ambiente de DRP en disponibilidad simple (1 nodo) y un ambiente de desarrollo en disponibilidad simple (1 nodo).</w:t>
            </w:r>
          </w:p>
        </w:tc>
      </w:tr>
      <w:tr w:rsidR="0072538A" w:rsidRPr="0099279D" w14:paraId="2D425764" w14:textId="77777777" w:rsidTr="007E72F3">
        <w:trPr>
          <w:trHeight w:val="576"/>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E152"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lastRenderedPageBreak/>
              <w:t>3.1.12</w:t>
            </w:r>
          </w:p>
        </w:tc>
        <w:tc>
          <w:tcPr>
            <w:tcW w:w="8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F024" w14:textId="47D809DC"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En la Nube (compatible con los servicios en la nube de Azure): CMS, CRL/Protocolo de Estado del Certificado</w:t>
            </w:r>
            <w:r w:rsidR="00E4310B" w:rsidRPr="0099279D">
              <w:rPr>
                <w:rFonts w:ascii="Garamond" w:eastAsia="Times New Roman" w:hAnsi="Garamond" w:cs="Times New Roman"/>
                <w:color w:val="000000"/>
                <w:kern w:val="0"/>
                <w14:ligatures w14:val="none"/>
              </w:rPr>
              <w:t xml:space="preserve"> </w:t>
            </w:r>
            <w:r w:rsidRPr="0099279D">
              <w:rPr>
                <w:rFonts w:ascii="Garamond" w:eastAsia="Times New Roman" w:hAnsi="Garamond" w:cs="Times New Roman"/>
                <w:color w:val="000000"/>
                <w:kern w:val="0"/>
                <w14:ligatures w14:val="none"/>
              </w:rPr>
              <w:t>en Línea, Repositorio PKI, y servicios adicionales no críticos</w:t>
            </w:r>
          </w:p>
        </w:tc>
      </w:tr>
      <w:tr w:rsidR="0072538A" w:rsidRPr="0099279D" w14:paraId="03379E86" w14:textId="77777777" w:rsidTr="007E72F3">
        <w:trPr>
          <w:trHeight w:val="288"/>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67A6"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3.1.13</w:t>
            </w:r>
          </w:p>
        </w:tc>
        <w:tc>
          <w:tcPr>
            <w:tcW w:w="8213" w:type="dxa"/>
            <w:tcBorders>
              <w:top w:val="single" w:sz="4" w:space="0" w:color="auto"/>
              <w:left w:val="nil"/>
              <w:bottom w:val="single" w:sz="4" w:space="0" w:color="auto"/>
              <w:right w:val="single" w:sz="4" w:space="0" w:color="auto"/>
            </w:tcBorders>
            <w:shd w:val="clear" w:color="auto" w:fill="auto"/>
            <w:vAlign w:val="center"/>
            <w:hideMark/>
          </w:tcPr>
          <w:p w14:paraId="00D840B9"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Tanto la PKI de firma de documentos como la PKI de Firma Digital deben cumplir CC EAL 4+</w:t>
            </w:r>
          </w:p>
        </w:tc>
      </w:tr>
      <w:tr w:rsidR="0072538A" w:rsidRPr="0099279D" w14:paraId="7FCB41D9"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07C93FB2"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3.2</w:t>
            </w:r>
          </w:p>
        </w:tc>
        <w:tc>
          <w:tcPr>
            <w:tcW w:w="8213" w:type="dxa"/>
            <w:tcBorders>
              <w:top w:val="nil"/>
              <w:left w:val="nil"/>
              <w:bottom w:val="single" w:sz="4" w:space="0" w:color="auto"/>
              <w:right w:val="single" w:sz="4" w:space="0" w:color="auto"/>
            </w:tcBorders>
            <w:shd w:val="clear" w:color="000000" w:fill="D9D9D9"/>
            <w:vAlign w:val="center"/>
            <w:hideMark/>
          </w:tcPr>
          <w:p w14:paraId="4E9D3370" w14:textId="77777777"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Autoridad de Certificación (CA) de firma de país (CSCA)</w:t>
            </w:r>
          </w:p>
        </w:tc>
      </w:tr>
      <w:tr w:rsidR="0072538A" w:rsidRPr="0099279D" w14:paraId="4CB7E9D3" w14:textId="77777777" w:rsidTr="00AB1F83">
        <w:trPr>
          <w:trHeight w:val="4032"/>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33AA13B9"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3.2.3</w:t>
            </w:r>
          </w:p>
        </w:tc>
        <w:tc>
          <w:tcPr>
            <w:tcW w:w="8213" w:type="dxa"/>
            <w:tcBorders>
              <w:top w:val="nil"/>
              <w:left w:val="nil"/>
              <w:bottom w:val="single" w:sz="4" w:space="0" w:color="auto"/>
              <w:right w:val="single" w:sz="4" w:space="0" w:color="auto"/>
            </w:tcBorders>
            <w:shd w:val="clear" w:color="auto" w:fill="auto"/>
            <w:vAlign w:val="center"/>
            <w:hideMark/>
          </w:tcPr>
          <w:p w14:paraId="1EC37DA5" w14:textId="5D3058C9"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xml:space="preserve">Los sistemas o instalaciones propuestos </w:t>
            </w:r>
            <w:r w:rsidR="00E4310B" w:rsidRPr="0099279D">
              <w:rPr>
                <w:rFonts w:ascii="Garamond" w:eastAsia="Times New Roman" w:hAnsi="Garamond" w:cs="Times New Roman"/>
                <w:color w:val="000000"/>
                <w:kern w:val="0"/>
                <w14:ligatures w14:val="none"/>
              </w:rPr>
              <w:t>deberán</w:t>
            </w:r>
            <w:r w:rsidRPr="0099279D">
              <w:rPr>
                <w:rFonts w:ascii="Garamond" w:eastAsia="Times New Roman" w:hAnsi="Garamond" w:cs="Times New Roman"/>
                <w:color w:val="000000"/>
                <w:kern w:val="0"/>
                <w14:ligatures w14:val="none"/>
              </w:rPr>
              <w:t xml:space="preserve"> estar bien protegidos de cualquier acceso externo o no autorizado a </w:t>
            </w:r>
            <w:r w:rsidR="00E4310B" w:rsidRPr="0099279D">
              <w:rPr>
                <w:rFonts w:ascii="Garamond" w:eastAsia="Times New Roman" w:hAnsi="Garamond" w:cs="Times New Roman"/>
                <w:color w:val="000000"/>
                <w:kern w:val="0"/>
                <w14:ligatures w14:val="none"/>
              </w:rPr>
              <w:t>través</w:t>
            </w:r>
            <w:r w:rsidRPr="0099279D">
              <w:rPr>
                <w:rFonts w:ascii="Garamond" w:eastAsia="Times New Roman" w:hAnsi="Garamond" w:cs="Times New Roman"/>
                <w:color w:val="000000"/>
                <w:kern w:val="0"/>
                <w14:ligatures w14:val="none"/>
              </w:rPr>
              <w:t xml:space="preserve"> del </w:t>
            </w:r>
            <w:r w:rsidR="00E4310B" w:rsidRPr="0099279D">
              <w:rPr>
                <w:rFonts w:ascii="Garamond" w:eastAsia="Times New Roman" w:hAnsi="Garamond" w:cs="Times New Roman"/>
                <w:color w:val="000000"/>
                <w:kern w:val="0"/>
                <w14:ligatures w14:val="none"/>
              </w:rPr>
              <w:t>diseño</w:t>
            </w:r>
            <w:r w:rsidRPr="0099279D">
              <w:rPr>
                <w:rFonts w:ascii="Garamond" w:eastAsia="Times New Roman" w:hAnsi="Garamond" w:cs="Times New Roman"/>
                <w:color w:val="000000"/>
                <w:kern w:val="0"/>
                <w14:ligatures w14:val="none"/>
              </w:rPr>
              <w:t xml:space="preserve"> inherente y las instalaciones de seguridad de hardware y requerirá medidas de seguridad robustas, entre otras:    </w:t>
            </w:r>
            <w:r w:rsidRPr="0099279D">
              <w:rPr>
                <w:rFonts w:ascii="Garamond" w:eastAsia="Times New Roman" w:hAnsi="Garamond" w:cs="Times New Roman"/>
                <w:color w:val="000000"/>
                <w:kern w:val="0"/>
                <w14:ligatures w14:val="none"/>
              </w:rPr>
              <w:br/>
              <w:t xml:space="preserve">- </w:t>
            </w:r>
            <w:r w:rsidR="00E4310B" w:rsidRPr="0099279D">
              <w:rPr>
                <w:rFonts w:ascii="Garamond" w:eastAsia="Times New Roman" w:hAnsi="Garamond" w:cs="Times New Roman"/>
                <w:color w:val="000000"/>
                <w:kern w:val="0"/>
                <w14:ligatures w14:val="none"/>
              </w:rPr>
              <w:t>Autenticación</w:t>
            </w:r>
            <w:r w:rsidRPr="0099279D">
              <w:rPr>
                <w:rFonts w:ascii="Garamond" w:eastAsia="Times New Roman" w:hAnsi="Garamond" w:cs="Times New Roman"/>
                <w:color w:val="000000"/>
                <w:kern w:val="0"/>
                <w14:ligatures w14:val="none"/>
              </w:rPr>
              <w:t xml:space="preserve"> multifactorial (MFA para acceso a la administración). Cifrado avanzado en todas las comunicaciones y datos almacenados, utilizando algoritmos criptográficos robustos y actuales.</w:t>
            </w:r>
            <w:r w:rsidRPr="0099279D">
              <w:rPr>
                <w:rFonts w:ascii="Garamond" w:eastAsia="Times New Roman" w:hAnsi="Garamond" w:cs="Times New Roman"/>
                <w:color w:val="000000"/>
                <w:kern w:val="0"/>
                <w14:ligatures w14:val="none"/>
              </w:rPr>
              <w:br/>
              <w:t>- Uso de Módulos de Seguridad por Hardware (HSMs) certificados (FIPS 140-2 nivel 2 o superior) para la generación y almacenamiento de claves privadas.</w:t>
            </w:r>
            <w:r w:rsidRPr="0099279D">
              <w:rPr>
                <w:rFonts w:ascii="Garamond" w:eastAsia="Times New Roman" w:hAnsi="Garamond" w:cs="Times New Roman"/>
                <w:color w:val="000000"/>
                <w:kern w:val="0"/>
                <w14:ligatures w14:val="none"/>
              </w:rPr>
              <w:br/>
              <w:t>- Implementación de sistemas avanzados de monitoreo y detección de intrusos (IDS/IPS).</w:t>
            </w:r>
            <w:r w:rsidRPr="0099279D">
              <w:rPr>
                <w:rFonts w:ascii="Garamond" w:eastAsia="Times New Roman" w:hAnsi="Garamond" w:cs="Times New Roman"/>
                <w:color w:val="000000"/>
                <w:kern w:val="0"/>
                <w14:ligatures w14:val="none"/>
              </w:rPr>
              <w:br/>
              <w:t>- El monitoreo debe incluir de infraestructura, de seguridad y de comuni</w:t>
            </w:r>
            <w:r w:rsidR="00E4310B" w:rsidRPr="0099279D">
              <w:rPr>
                <w:rFonts w:ascii="Garamond" w:eastAsia="Times New Roman" w:hAnsi="Garamond" w:cs="Times New Roman"/>
                <w:color w:val="000000"/>
                <w:kern w:val="0"/>
                <w14:ligatures w14:val="none"/>
              </w:rPr>
              <w:t>ca</w:t>
            </w:r>
            <w:r w:rsidRPr="0099279D">
              <w:rPr>
                <w:rFonts w:ascii="Garamond" w:eastAsia="Times New Roman" w:hAnsi="Garamond" w:cs="Times New Roman"/>
                <w:color w:val="000000"/>
                <w:kern w:val="0"/>
                <w14:ligatures w14:val="none"/>
              </w:rPr>
              <w:t>cion</w:t>
            </w:r>
            <w:r w:rsidR="00E4310B" w:rsidRPr="0099279D">
              <w:rPr>
                <w:rFonts w:ascii="Garamond" w:eastAsia="Times New Roman" w:hAnsi="Garamond" w:cs="Times New Roman"/>
                <w:color w:val="000000"/>
                <w:kern w:val="0"/>
                <w14:ligatures w14:val="none"/>
              </w:rPr>
              <w:t>es</w:t>
            </w:r>
            <w:r w:rsidRPr="0099279D">
              <w:rPr>
                <w:rFonts w:ascii="Garamond" w:eastAsia="Times New Roman" w:hAnsi="Garamond" w:cs="Times New Roman"/>
                <w:color w:val="000000"/>
                <w:kern w:val="0"/>
                <w14:ligatures w14:val="none"/>
              </w:rPr>
              <w:br/>
              <w:t>- Segmentación de redes que aísle la infraestructura de PKI de otras redes corporativas.</w:t>
            </w:r>
            <w:r w:rsidRPr="0099279D">
              <w:rPr>
                <w:rFonts w:ascii="Garamond" w:eastAsia="Times New Roman" w:hAnsi="Garamond" w:cs="Times New Roman"/>
                <w:color w:val="000000"/>
                <w:kern w:val="0"/>
                <w14:ligatures w14:val="none"/>
              </w:rPr>
              <w:br/>
              <w:t>- Mantenimiento de todos los sistemas y software de la PKI actualizados con los últimos parches de seguridad.</w:t>
            </w:r>
            <w:r w:rsidRPr="0099279D">
              <w:rPr>
                <w:rFonts w:ascii="Garamond" w:eastAsia="Times New Roman" w:hAnsi="Garamond" w:cs="Times New Roman"/>
                <w:color w:val="000000"/>
                <w:kern w:val="0"/>
                <w14:ligatures w14:val="none"/>
              </w:rPr>
              <w:br/>
              <w:t>- Realización de auditorías regulares y evaluaciones de seguridad.</w:t>
            </w:r>
            <w:r w:rsidRPr="0099279D">
              <w:rPr>
                <w:rFonts w:ascii="Garamond" w:eastAsia="Times New Roman" w:hAnsi="Garamond" w:cs="Times New Roman"/>
                <w:color w:val="000000"/>
                <w:kern w:val="0"/>
                <w14:ligatures w14:val="none"/>
              </w:rPr>
              <w:br/>
              <w:t>- Capacitación del personal involucrado en la operación y gestión de la PKI sobre las mejores prácticas de seguridad y procedimientos de respuesta a incidentes.</w:t>
            </w:r>
          </w:p>
        </w:tc>
      </w:tr>
      <w:tr w:rsidR="0072538A" w:rsidRPr="0099279D" w14:paraId="09AE2836"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4692170C"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3.2.11</w:t>
            </w:r>
          </w:p>
        </w:tc>
        <w:tc>
          <w:tcPr>
            <w:tcW w:w="8213" w:type="dxa"/>
            <w:tcBorders>
              <w:top w:val="nil"/>
              <w:left w:val="nil"/>
              <w:bottom w:val="single" w:sz="4" w:space="0" w:color="auto"/>
              <w:right w:val="single" w:sz="4" w:space="0" w:color="auto"/>
            </w:tcBorders>
            <w:shd w:val="clear" w:color="000000" w:fill="D9D9D9"/>
            <w:vAlign w:val="center"/>
            <w:hideMark/>
          </w:tcPr>
          <w:p w14:paraId="6D8B0791" w14:textId="6D5C2E15"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 xml:space="preserve">Algoritmos </w:t>
            </w:r>
            <w:r w:rsidR="00E4310B" w:rsidRPr="0099279D">
              <w:rPr>
                <w:rFonts w:ascii="Garamond" w:eastAsia="Times New Roman" w:hAnsi="Garamond" w:cs="Times New Roman"/>
                <w:b/>
                <w:bCs/>
                <w:color w:val="000000"/>
                <w:kern w:val="0"/>
                <w14:ligatures w14:val="none"/>
              </w:rPr>
              <w:t>criptográficos</w:t>
            </w:r>
            <w:r w:rsidRPr="0099279D">
              <w:rPr>
                <w:rFonts w:ascii="Garamond" w:eastAsia="Times New Roman" w:hAnsi="Garamond" w:cs="Times New Roman"/>
                <w:b/>
                <w:bCs/>
                <w:color w:val="000000"/>
                <w:kern w:val="0"/>
                <w14:ligatures w14:val="none"/>
              </w:rPr>
              <w:t xml:space="preserve"> </w:t>
            </w:r>
            <w:r w:rsidR="00E4310B" w:rsidRPr="0099279D">
              <w:rPr>
                <w:rFonts w:ascii="Garamond" w:eastAsia="Times New Roman" w:hAnsi="Garamond" w:cs="Times New Roman"/>
                <w:b/>
                <w:bCs/>
                <w:color w:val="000000"/>
                <w:kern w:val="0"/>
                <w14:ligatures w14:val="none"/>
              </w:rPr>
              <w:t>asimétricos</w:t>
            </w:r>
            <w:r w:rsidRPr="0099279D">
              <w:rPr>
                <w:rFonts w:ascii="Garamond" w:eastAsia="Times New Roman" w:hAnsi="Garamond" w:cs="Times New Roman"/>
                <w:b/>
                <w:bCs/>
                <w:color w:val="000000"/>
                <w:kern w:val="0"/>
                <w14:ligatures w14:val="none"/>
              </w:rPr>
              <w:t xml:space="preserve"> (</w:t>
            </w:r>
            <w:r w:rsidR="00E4310B" w:rsidRPr="0099279D">
              <w:rPr>
                <w:rFonts w:ascii="Garamond" w:eastAsia="Times New Roman" w:hAnsi="Garamond" w:cs="Times New Roman"/>
                <w:b/>
                <w:bCs/>
                <w:color w:val="000000"/>
                <w:kern w:val="0"/>
                <w14:ligatures w14:val="none"/>
              </w:rPr>
              <w:t>podrá</w:t>
            </w:r>
            <w:r w:rsidRPr="0099279D">
              <w:rPr>
                <w:rFonts w:ascii="Garamond" w:eastAsia="Times New Roman" w:hAnsi="Garamond" w:cs="Times New Roman"/>
                <w:b/>
                <w:bCs/>
                <w:color w:val="000000"/>
                <w:kern w:val="0"/>
                <w14:ligatures w14:val="none"/>
              </w:rPr>
              <w:t xml:space="preserve"> soportar)</w:t>
            </w:r>
          </w:p>
        </w:tc>
      </w:tr>
      <w:tr w:rsidR="0072538A" w:rsidRPr="0099279D" w14:paraId="25D9BABE" w14:textId="77777777" w:rsidTr="007E72F3">
        <w:trPr>
          <w:trHeight w:val="179"/>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9494DB2"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3.2.11.1 - 3.2.11.9</w:t>
            </w:r>
          </w:p>
        </w:tc>
        <w:tc>
          <w:tcPr>
            <w:tcW w:w="8213" w:type="dxa"/>
            <w:tcBorders>
              <w:top w:val="nil"/>
              <w:left w:val="nil"/>
              <w:bottom w:val="single" w:sz="4" w:space="0" w:color="auto"/>
              <w:right w:val="single" w:sz="4" w:space="0" w:color="auto"/>
            </w:tcBorders>
            <w:shd w:val="clear" w:color="auto" w:fill="auto"/>
            <w:vAlign w:val="center"/>
            <w:hideMark/>
          </w:tcPr>
          <w:p w14:paraId="0C369AB5"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RSA, DSA, ECC, ECDSA, ECDH, Ed25519, ECIES, Brainpool curves (nombrados y definidos por el usuario), Diffie Hellman (DH) ]</w:t>
            </w:r>
          </w:p>
        </w:tc>
      </w:tr>
      <w:tr w:rsidR="0072538A" w:rsidRPr="0099279D" w14:paraId="3B69515E"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2CDDCC36"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3.2.12</w:t>
            </w:r>
          </w:p>
        </w:tc>
        <w:tc>
          <w:tcPr>
            <w:tcW w:w="8213" w:type="dxa"/>
            <w:tcBorders>
              <w:top w:val="nil"/>
              <w:left w:val="nil"/>
              <w:bottom w:val="single" w:sz="4" w:space="0" w:color="auto"/>
              <w:right w:val="single" w:sz="4" w:space="0" w:color="auto"/>
            </w:tcBorders>
            <w:shd w:val="clear" w:color="000000" w:fill="D9D9D9"/>
            <w:vAlign w:val="center"/>
            <w:hideMark/>
          </w:tcPr>
          <w:p w14:paraId="53F00E81" w14:textId="26B7D6AA"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 xml:space="preserve">Algoritmos </w:t>
            </w:r>
            <w:r w:rsidR="00E4310B" w:rsidRPr="0099279D">
              <w:rPr>
                <w:rFonts w:ascii="Garamond" w:eastAsia="Times New Roman" w:hAnsi="Garamond" w:cs="Times New Roman"/>
                <w:b/>
                <w:bCs/>
                <w:color w:val="000000"/>
                <w:kern w:val="0"/>
                <w14:ligatures w14:val="none"/>
              </w:rPr>
              <w:t>criptográficos</w:t>
            </w:r>
            <w:r w:rsidRPr="0099279D">
              <w:rPr>
                <w:rFonts w:ascii="Garamond" w:eastAsia="Times New Roman" w:hAnsi="Garamond" w:cs="Times New Roman"/>
                <w:b/>
                <w:bCs/>
                <w:color w:val="000000"/>
                <w:kern w:val="0"/>
                <w14:ligatures w14:val="none"/>
              </w:rPr>
              <w:t xml:space="preserve"> </w:t>
            </w:r>
            <w:r w:rsidR="00E4310B" w:rsidRPr="0099279D">
              <w:rPr>
                <w:rFonts w:ascii="Garamond" w:eastAsia="Times New Roman" w:hAnsi="Garamond" w:cs="Times New Roman"/>
                <w:b/>
                <w:bCs/>
                <w:color w:val="000000"/>
                <w:kern w:val="0"/>
                <w14:ligatures w14:val="none"/>
              </w:rPr>
              <w:t>simétricos</w:t>
            </w:r>
            <w:r w:rsidRPr="0099279D">
              <w:rPr>
                <w:rFonts w:ascii="Garamond" w:eastAsia="Times New Roman" w:hAnsi="Garamond" w:cs="Times New Roman"/>
                <w:b/>
                <w:bCs/>
                <w:color w:val="000000"/>
                <w:kern w:val="0"/>
                <w14:ligatures w14:val="none"/>
              </w:rPr>
              <w:t xml:space="preserve"> (</w:t>
            </w:r>
            <w:r w:rsidR="00E4310B" w:rsidRPr="0099279D">
              <w:rPr>
                <w:rFonts w:ascii="Garamond" w:eastAsia="Times New Roman" w:hAnsi="Garamond" w:cs="Times New Roman"/>
                <w:b/>
                <w:bCs/>
                <w:color w:val="000000"/>
                <w:kern w:val="0"/>
                <w14:ligatures w14:val="none"/>
              </w:rPr>
              <w:t>podra</w:t>
            </w:r>
            <w:r w:rsidRPr="0099279D">
              <w:rPr>
                <w:rFonts w:ascii="Garamond" w:eastAsia="Times New Roman" w:hAnsi="Garamond" w:cs="Times New Roman"/>
                <w:b/>
                <w:bCs/>
                <w:color w:val="000000"/>
                <w:kern w:val="0"/>
                <w14:ligatures w14:val="none"/>
              </w:rPr>
              <w:t>́ soportar)</w:t>
            </w:r>
          </w:p>
        </w:tc>
      </w:tr>
      <w:tr w:rsidR="0072538A" w:rsidRPr="0099279D" w14:paraId="7AA52561" w14:textId="77777777" w:rsidTr="00AB1F83">
        <w:trPr>
          <w:trHeight w:val="576"/>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2634935"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3.2.12.1 - 3.2.12.10</w:t>
            </w:r>
          </w:p>
        </w:tc>
        <w:tc>
          <w:tcPr>
            <w:tcW w:w="8213" w:type="dxa"/>
            <w:tcBorders>
              <w:top w:val="nil"/>
              <w:left w:val="nil"/>
              <w:bottom w:val="single" w:sz="4" w:space="0" w:color="auto"/>
              <w:right w:val="single" w:sz="4" w:space="0" w:color="auto"/>
            </w:tcBorders>
            <w:shd w:val="clear" w:color="auto" w:fill="auto"/>
            <w:vAlign w:val="center"/>
            <w:hideMark/>
          </w:tcPr>
          <w:p w14:paraId="45FC49B9" w14:textId="7777777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AES, AES-GCM, DES, 3DES, ARIA, SEED, RC2, RC4, RC5, CAST ]</w:t>
            </w:r>
          </w:p>
        </w:tc>
      </w:tr>
      <w:tr w:rsidR="0072538A" w:rsidRPr="0099279D" w14:paraId="6323D7ED"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2C97FF03"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4</w:t>
            </w:r>
          </w:p>
        </w:tc>
        <w:tc>
          <w:tcPr>
            <w:tcW w:w="8213" w:type="dxa"/>
            <w:tcBorders>
              <w:top w:val="nil"/>
              <w:left w:val="nil"/>
              <w:bottom w:val="single" w:sz="4" w:space="0" w:color="auto"/>
              <w:right w:val="single" w:sz="4" w:space="0" w:color="auto"/>
            </w:tcBorders>
            <w:shd w:val="clear" w:color="000000" w:fill="D9D9D9"/>
            <w:vAlign w:val="center"/>
            <w:hideMark/>
          </w:tcPr>
          <w:p w14:paraId="5E1EEAD5" w14:textId="77777777"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Especificaciones de la tarjeta de identidad digital</w:t>
            </w:r>
          </w:p>
        </w:tc>
      </w:tr>
      <w:tr w:rsidR="0072538A" w:rsidRPr="0099279D" w14:paraId="6C25BCE9" w14:textId="77777777" w:rsidTr="00AB1F83">
        <w:trPr>
          <w:trHeight w:val="576"/>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11F842C"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4.2</w:t>
            </w:r>
          </w:p>
        </w:tc>
        <w:tc>
          <w:tcPr>
            <w:tcW w:w="8213" w:type="dxa"/>
            <w:tcBorders>
              <w:top w:val="nil"/>
              <w:left w:val="nil"/>
              <w:bottom w:val="single" w:sz="4" w:space="0" w:color="auto"/>
              <w:right w:val="single" w:sz="4" w:space="0" w:color="auto"/>
            </w:tcBorders>
            <w:shd w:val="clear" w:color="auto" w:fill="auto"/>
            <w:vAlign w:val="center"/>
            <w:hideMark/>
          </w:tcPr>
          <w:p w14:paraId="611E8D75" w14:textId="75C6F667"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xml:space="preserve">Estar preparada para cumplir con el </w:t>
            </w:r>
            <w:r w:rsidR="00E4310B" w:rsidRPr="0099279D">
              <w:rPr>
                <w:rFonts w:ascii="Garamond" w:eastAsia="Times New Roman" w:hAnsi="Garamond" w:cs="Times New Roman"/>
                <w:color w:val="000000"/>
                <w:kern w:val="0"/>
                <w14:ligatures w14:val="none"/>
              </w:rPr>
              <w:t>estándar</w:t>
            </w:r>
            <w:r w:rsidRPr="0099279D">
              <w:rPr>
                <w:rFonts w:ascii="Garamond" w:eastAsia="Times New Roman" w:hAnsi="Garamond" w:cs="Times New Roman"/>
                <w:color w:val="000000"/>
                <w:kern w:val="0"/>
                <w14:ligatures w14:val="none"/>
              </w:rPr>
              <w:t xml:space="preserve"> de la OACI (“Guiding Core Principles for the Development of Digital Travel Credential (DTC) de octubre de 2020”</w:t>
            </w:r>
          </w:p>
        </w:tc>
      </w:tr>
      <w:tr w:rsidR="0072538A" w:rsidRPr="0099279D" w14:paraId="43601EFA" w14:textId="77777777" w:rsidTr="00AB1F83">
        <w:trPr>
          <w:trHeight w:val="44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ECD16B3"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4.5</w:t>
            </w:r>
          </w:p>
        </w:tc>
        <w:tc>
          <w:tcPr>
            <w:tcW w:w="8213" w:type="dxa"/>
            <w:tcBorders>
              <w:top w:val="nil"/>
              <w:left w:val="nil"/>
              <w:bottom w:val="single" w:sz="4" w:space="0" w:color="auto"/>
              <w:right w:val="single" w:sz="4" w:space="0" w:color="auto"/>
            </w:tcBorders>
            <w:shd w:val="clear" w:color="auto" w:fill="auto"/>
            <w:vAlign w:val="center"/>
            <w:hideMark/>
          </w:tcPr>
          <w:p w14:paraId="1CECCC23" w14:textId="12247165"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xml:space="preserve">Los datos entregados </w:t>
            </w:r>
            <w:r w:rsidR="00E4310B" w:rsidRPr="0099279D">
              <w:rPr>
                <w:rFonts w:ascii="Garamond" w:eastAsia="Times New Roman" w:hAnsi="Garamond" w:cs="Times New Roman"/>
                <w:color w:val="000000"/>
                <w:kern w:val="0"/>
                <w14:ligatures w14:val="none"/>
              </w:rPr>
              <w:t>deberán</w:t>
            </w:r>
            <w:r w:rsidRPr="0099279D">
              <w:rPr>
                <w:rFonts w:ascii="Garamond" w:eastAsia="Times New Roman" w:hAnsi="Garamond" w:cs="Times New Roman"/>
                <w:color w:val="000000"/>
                <w:kern w:val="0"/>
                <w14:ligatures w14:val="none"/>
              </w:rPr>
              <w:t xml:space="preserve"> ser firmados </w:t>
            </w:r>
            <w:r w:rsidR="00E4310B" w:rsidRPr="0099279D">
              <w:rPr>
                <w:rFonts w:ascii="Garamond" w:eastAsia="Times New Roman" w:hAnsi="Garamond" w:cs="Times New Roman"/>
                <w:color w:val="000000"/>
                <w:kern w:val="0"/>
                <w14:ligatures w14:val="none"/>
              </w:rPr>
              <w:t>electrónicamente</w:t>
            </w:r>
            <w:r w:rsidRPr="0099279D">
              <w:rPr>
                <w:rFonts w:ascii="Garamond" w:eastAsia="Times New Roman" w:hAnsi="Garamond" w:cs="Times New Roman"/>
                <w:color w:val="000000"/>
                <w:kern w:val="0"/>
                <w14:ligatures w14:val="none"/>
              </w:rPr>
              <w:t xml:space="preserve">. Esta firma </w:t>
            </w:r>
            <w:r w:rsidR="00E4310B" w:rsidRPr="0099279D">
              <w:rPr>
                <w:rFonts w:ascii="Garamond" w:eastAsia="Times New Roman" w:hAnsi="Garamond" w:cs="Times New Roman"/>
                <w:color w:val="000000"/>
                <w:kern w:val="0"/>
                <w14:ligatures w14:val="none"/>
              </w:rPr>
              <w:t>electrónica</w:t>
            </w:r>
            <w:r w:rsidRPr="0099279D">
              <w:rPr>
                <w:rFonts w:ascii="Garamond" w:eastAsia="Times New Roman" w:hAnsi="Garamond" w:cs="Times New Roman"/>
                <w:color w:val="000000"/>
                <w:kern w:val="0"/>
                <w14:ligatures w14:val="none"/>
              </w:rPr>
              <w:t xml:space="preserve"> certificada de los datos </w:t>
            </w:r>
            <w:r w:rsidR="00E4310B" w:rsidRPr="0099279D">
              <w:rPr>
                <w:rFonts w:ascii="Garamond" w:eastAsia="Times New Roman" w:hAnsi="Garamond" w:cs="Times New Roman"/>
                <w:color w:val="000000"/>
                <w:kern w:val="0"/>
                <w14:ligatures w14:val="none"/>
              </w:rPr>
              <w:t>permitirá</w:t>
            </w:r>
            <w:r w:rsidRPr="0099279D">
              <w:rPr>
                <w:rFonts w:ascii="Garamond" w:eastAsia="Times New Roman" w:hAnsi="Garamond" w:cs="Times New Roman"/>
                <w:color w:val="000000"/>
                <w:kern w:val="0"/>
                <w14:ligatures w14:val="none"/>
              </w:rPr>
              <w:t xml:space="preserve"> que terceros puedan validar la integridad y procedencia de los datos que presenta el ciudadano. Los datos entregados </w:t>
            </w:r>
            <w:r w:rsidR="00E4310B" w:rsidRPr="0099279D">
              <w:rPr>
                <w:rFonts w:ascii="Garamond" w:eastAsia="Times New Roman" w:hAnsi="Garamond" w:cs="Times New Roman"/>
                <w:color w:val="000000"/>
                <w:kern w:val="0"/>
                <w14:ligatures w14:val="none"/>
              </w:rPr>
              <w:t>deberán</w:t>
            </w:r>
            <w:r w:rsidRPr="0099279D">
              <w:rPr>
                <w:rFonts w:ascii="Garamond" w:eastAsia="Times New Roman" w:hAnsi="Garamond" w:cs="Times New Roman"/>
                <w:color w:val="000000"/>
                <w:kern w:val="0"/>
                <w14:ligatures w14:val="none"/>
              </w:rPr>
              <w:t xml:space="preserve"> ser firmados </w:t>
            </w:r>
            <w:r w:rsidR="00E4310B" w:rsidRPr="0099279D">
              <w:rPr>
                <w:rFonts w:ascii="Garamond" w:eastAsia="Times New Roman" w:hAnsi="Garamond" w:cs="Times New Roman"/>
                <w:color w:val="000000"/>
                <w:kern w:val="0"/>
                <w14:ligatures w14:val="none"/>
              </w:rPr>
              <w:t>electrónicamente</w:t>
            </w:r>
            <w:r w:rsidRPr="0099279D">
              <w:rPr>
                <w:rFonts w:ascii="Garamond" w:eastAsia="Times New Roman" w:hAnsi="Garamond" w:cs="Times New Roman"/>
                <w:color w:val="000000"/>
                <w:kern w:val="0"/>
                <w14:ligatures w14:val="none"/>
              </w:rPr>
              <w:t xml:space="preserve"> por la JCE. Esta firma </w:t>
            </w:r>
            <w:r w:rsidR="00E4310B" w:rsidRPr="0099279D">
              <w:rPr>
                <w:rFonts w:ascii="Garamond" w:eastAsia="Times New Roman" w:hAnsi="Garamond" w:cs="Times New Roman"/>
                <w:color w:val="000000"/>
                <w:kern w:val="0"/>
                <w14:ligatures w14:val="none"/>
              </w:rPr>
              <w:t>electrónica</w:t>
            </w:r>
            <w:r w:rsidRPr="0099279D">
              <w:rPr>
                <w:rFonts w:ascii="Garamond" w:eastAsia="Times New Roman" w:hAnsi="Garamond" w:cs="Times New Roman"/>
                <w:color w:val="000000"/>
                <w:kern w:val="0"/>
                <w14:ligatures w14:val="none"/>
              </w:rPr>
              <w:t xml:space="preserve"> certificada de los datos </w:t>
            </w:r>
            <w:r w:rsidR="00E4310B" w:rsidRPr="0099279D">
              <w:rPr>
                <w:rFonts w:ascii="Garamond" w:eastAsia="Times New Roman" w:hAnsi="Garamond" w:cs="Times New Roman"/>
                <w:color w:val="000000"/>
                <w:kern w:val="0"/>
                <w14:ligatures w14:val="none"/>
              </w:rPr>
              <w:t>permitirá</w:t>
            </w:r>
            <w:r w:rsidRPr="0099279D">
              <w:rPr>
                <w:rFonts w:ascii="Garamond" w:eastAsia="Times New Roman" w:hAnsi="Garamond" w:cs="Times New Roman"/>
                <w:color w:val="000000"/>
                <w:kern w:val="0"/>
                <w14:ligatures w14:val="none"/>
              </w:rPr>
              <w:t xml:space="preserve"> que terceros puedan validar la integridad y procedencia de los datos que presenta el ciudadano, tanto la firma de los datos como la </w:t>
            </w:r>
            <w:r w:rsidR="00E4310B" w:rsidRPr="0099279D">
              <w:rPr>
                <w:rFonts w:ascii="Garamond" w:eastAsia="Times New Roman" w:hAnsi="Garamond" w:cs="Times New Roman"/>
                <w:color w:val="000000"/>
                <w:kern w:val="0"/>
                <w14:ligatures w14:val="none"/>
              </w:rPr>
              <w:t>validación</w:t>
            </w:r>
            <w:r w:rsidRPr="0099279D">
              <w:rPr>
                <w:rFonts w:ascii="Garamond" w:eastAsia="Times New Roman" w:hAnsi="Garamond" w:cs="Times New Roman"/>
                <w:color w:val="000000"/>
                <w:kern w:val="0"/>
                <w14:ligatures w14:val="none"/>
              </w:rPr>
              <w:t xml:space="preserve"> de estos, se realizará usando los certificados </w:t>
            </w:r>
            <w:r w:rsidR="00E4310B" w:rsidRPr="0099279D">
              <w:rPr>
                <w:rFonts w:ascii="Garamond" w:eastAsia="Times New Roman" w:hAnsi="Garamond" w:cs="Times New Roman"/>
                <w:color w:val="000000"/>
                <w:kern w:val="0"/>
                <w14:ligatures w14:val="none"/>
              </w:rPr>
              <w:t>electrónicos</w:t>
            </w:r>
            <w:r w:rsidRPr="0099279D">
              <w:rPr>
                <w:rFonts w:ascii="Garamond" w:eastAsia="Times New Roman" w:hAnsi="Garamond" w:cs="Times New Roman"/>
                <w:color w:val="000000"/>
                <w:kern w:val="0"/>
                <w14:ligatures w14:val="none"/>
              </w:rPr>
              <w:t xml:space="preserve"> administrados por la JCE, como Autoridad Certificadora descrita en el apartado Infraestructura de clave </w:t>
            </w:r>
            <w:r w:rsidR="00E4310B" w:rsidRPr="0099279D">
              <w:rPr>
                <w:rFonts w:ascii="Garamond" w:eastAsia="Times New Roman" w:hAnsi="Garamond" w:cs="Times New Roman"/>
                <w:color w:val="000000"/>
                <w:kern w:val="0"/>
                <w14:ligatures w14:val="none"/>
              </w:rPr>
              <w:t>pública</w:t>
            </w:r>
            <w:r w:rsidRPr="0099279D">
              <w:rPr>
                <w:rFonts w:ascii="Garamond" w:eastAsia="Times New Roman" w:hAnsi="Garamond" w:cs="Times New Roman"/>
                <w:color w:val="000000"/>
                <w:kern w:val="0"/>
                <w14:ligatures w14:val="none"/>
              </w:rPr>
              <w:t>.</w:t>
            </w:r>
          </w:p>
        </w:tc>
      </w:tr>
      <w:tr w:rsidR="0072538A" w:rsidRPr="0099279D" w14:paraId="134CF7FB" w14:textId="77777777" w:rsidTr="00AB1F83">
        <w:trPr>
          <w:trHeight w:val="288"/>
        </w:trPr>
        <w:tc>
          <w:tcPr>
            <w:tcW w:w="1052" w:type="dxa"/>
            <w:tcBorders>
              <w:top w:val="nil"/>
              <w:left w:val="single" w:sz="4" w:space="0" w:color="auto"/>
              <w:bottom w:val="single" w:sz="4" w:space="0" w:color="auto"/>
              <w:right w:val="single" w:sz="4" w:space="0" w:color="auto"/>
            </w:tcBorders>
            <w:shd w:val="clear" w:color="000000" w:fill="D9D9D9"/>
            <w:vAlign w:val="center"/>
            <w:hideMark/>
          </w:tcPr>
          <w:p w14:paraId="59912281" w14:textId="77777777" w:rsidR="0072538A" w:rsidRPr="0099279D" w:rsidRDefault="0072538A" w:rsidP="0099279D">
            <w:pPr>
              <w:spacing w:after="0" w:line="240" w:lineRule="auto"/>
              <w:jc w:val="center"/>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4.7</w:t>
            </w:r>
          </w:p>
        </w:tc>
        <w:tc>
          <w:tcPr>
            <w:tcW w:w="8213" w:type="dxa"/>
            <w:tcBorders>
              <w:top w:val="nil"/>
              <w:left w:val="nil"/>
              <w:bottom w:val="single" w:sz="4" w:space="0" w:color="auto"/>
              <w:right w:val="single" w:sz="4" w:space="0" w:color="auto"/>
            </w:tcBorders>
            <w:shd w:val="clear" w:color="000000" w:fill="D9D9D9"/>
            <w:vAlign w:val="center"/>
            <w:hideMark/>
          </w:tcPr>
          <w:p w14:paraId="2FE585DB" w14:textId="77777777" w:rsidR="0072538A" w:rsidRPr="0099279D" w:rsidRDefault="0072538A" w:rsidP="0099279D">
            <w:pPr>
              <w:spacing w:after="0" w:line="240" w:lineRule="auto"/>
              <w:jc w:val="both"/>
              <w:rPr>
                <w:rFonts w:ascii="Garamond" w:eastAsia="Times New Roman" w:hAnsi="Garamond" w:cs="Times New Roman"/>
                <w:b/>
                <w:bCs/>
                <w:color w:val="000000"/>
                <w:kern w:val="0"/>
                <w14:ligatures w14:val="none"/>
              </w:rPr>
            </w:pPr>
            <w:r w:rsidRPr="0099279D">
              <w:rPr>
                <w:rFonts w:ascii="Garamond" w:eastAsia="Times New Roman" w:hAnsi="Garamond" w:cs="Times New Roman"/>
                <w:b/>
                <w:bCs/>
                <w:color w:val="000000"/>
                <w:kern w:val="0"/>
                <w14:ligatures w14:val="none"/>
              </w:rPr>
              <w:t>Aspectos generales de la tarjeta digital</w:t>
            </w:r>
          </w:p>
        </w:tc>
      </w:tr>
      <w:tr w:rsidR="0072538A" w:rsidRPr="0099279D" w14:paraId="69595DA0" w14:textId="77777777" w:rsidTr="00AB1F83">
        <w:trPr>
          <w:trHeight w:val="864"/>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0AD20E5C" w14:textId="77777777" w:rsidR="0072538A" w:rsidRPr="0099279D" w:rsidRDefault="0072538A" w:rsidP="0099279D">
            <w:pPr>
              <w:spacing w:after="0" w:line="240" w:lineRule="auto"/>
              <w:jc w:val="center"/>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4.7.36</w:t>
            </w:r>
          </w:p>
        </w:tc>
        <w:tc>
          <w:tcPr>
            <w:tcW w:w="8213" w:type="dxa"/>
            <w:tcBorders>
              <w:top w:val="nil"/>
              <w:left w:val="nil"/>
              <w:bottom w:val="single" w:sz="4" w:space="0" w:color="auto"/>
              <w:right w:val="single" w:sz="4" w:space="0" w:color="auto"/>
            </w:tcBorders>
            <w:shd w:val="clear" w:color="auto" w:fill="auto"/>
            <w:vAlign w:val="center"/>
            <w:hideMark/>
          </w:tcPr>
          <w:p w14:paraId="377D9F69" w14:textId="3ABB3D44" w:rsidR="0072538A" w:rsidRPr="0099279D" w:rsidRDefault="0072538A" w:rsidP="0099279D">
            <w:pPr>
              <w:spacing w:after="0" w:line="240" w:lineRule="auto"/>
              <w:jc w:val="both"/>
              <w:rPr>
                <w:rFonts w:ascii="Garamond" w:eastAsia="Times New Roman" w:hAnsi="Garamond" w:cs="Times New Roman"/>
                <w:color w:val="000000"/>
                <w:kern w:val="0"/>
                <w14:ligatures w14:val="none"/>
              </w:rPr>
            </w:pPr>
            <w:r w:rsidRPr="0099279D">
              <w:rPr>
                <w:rFonts w:ascii="Garamond" w:eastAsia="Times New Roman" w:hAnsi="Garamond" w:cs="Times New Roman"/>
                <w:color w:val="000000"/>
                <w:kern w:val="0"/>
                <w14:ligatures w14:val="none"/>
              </w:rPr>
              <w:t xml:space="preserve">Capacidad de Servicio: Atender al menos 5,000 solicitudes diarias de credenciales digitales. La </w:t>
            </w:r>
            <w:r w:rsidR="00E4310B" w:rsidRPr="0099279D">
              <w:rPr>
                <w:rFonts w:ascii="Garamond" w:eastAsia="Times New Roman" w:hAnsi="Garamond" w:cs="Times New Roman"/>
                <w:color w:val="000000"/>
                <w:kern w:val="0"/>
                <w14:ligatures w14:val="none"/>
              </w:rPr>
              <w:t>solución</w:t>
            </w:r>
            <w:r w:rsidRPr="0099279D">
              <w:rPr>
                <w:rFonts w:ascii="Garamond" w:eastAsia="Times New Roman" w:hAnsi="Garamond" w:cs="Times New Roman"/>
                <w:color w:val="000000"/>
                <w:kern w:val="0"/>
                <w14:ligatures w14:val="none"/>
              </w:rPr>
              <w:t xml:space="preserve"> debe ser Modular y escalable para adaptarse a la </w:t>
            </w:r>
            <w:r w:rsidR="00E4310B" w:rsidRPr="0099279D">
              <w:rPr>
                <w:rFonts w:ascii="Garamond" w:eastAsia="Times New Roman" w:hAnsi="Garamond" w:cs="Times New Roman"/>
                <w:color w:val="000000"/>
                <w:kern w:val="0"/>
                <w14:ligatures w14:val="none"/>
              </w:rPr>
              <w:t>evolución</w:t>
            </w:r>
            <w:r w:rsidRPr="0099279D">
              <w:rPr>
                <w:rFonts w:ascii="Garamond" w:eastAsia="Times New Roman" w:hAnsi="Garamond" w:cs="Times New Roman"/>
                <w:color w:val="000000"/>
                <w:kern w:val="0"/>
                <w14:ligatures w14:val="none"/>
              </w:rPr>
              <w:t xml:space="preserve"> en la demanda de este tipo de documentos. El oferente </w:t>
            </w:r>
            <w:r w:rsidR="00E4310B" w:rsidRPr="0099279D">
              <w:rPr>
                <w:rFonts w:ascii="Garamond" w:eastAsia="Times New Roman" w:hAnsi="Garamond" w:cs="Times New Roman"/>
                <w:color w:val="000000"/>
                <w:kern w:val="0"/>
                <w14:ligatures w14:val="none"/>
              </w:rPr>
              <w:t>deberá</w:t>
            </w:r>
            <w:r w:rsidRPr="0099279D">
              <w:rPr>
                <w:rFonts w:ascii="Garamond" w:eastAsia="Times New Roman" w:hAnsi="Garamond" w:cs="Times New Roman"/>
                <w:color w:val="000000"/>
                <w:kern w:val="0"/>
                <w14:ligatures w14:val="none"/>
              </w:rPr>
              <w:t xml:space="preserve">́ proporcionar </w:t>
            </w:r>
            <w:r w:rsidR="00E4310B" w:rsidRPr="0099279D">
              <w:rPr>
                <w:rFonts w:ascii="Garamond" w:eastAsia="Times New Roman" w:hAnsi="Garamond" w:cs="Times New Roman"/>
                <w:color w:val="000000"/>
                <w:kern w:val="0"/>
                <w14:ligatures w14:val="none"/>
              </w:rPr>
              <w:t>información</w:t>
            </w:r>
            <w:r w:rsidRPr="0099279D">
              <w:rPr>
                <w:rFonts w:ascii="Garamond" w:eastAsia="Times New Roman" w:hAnsi="Garamond" w:cs="Times New Roman"/>
                <w:color w:val="000000"/>
                <w:kern w:val="0"/>
                <w14:ligatures w14:val="none"/>
              </w:rPr>
              <w:t xml:space="preserve"> de dimensionamiento de la plataforma.</w:t>
            </w:r>
          </w:p>
        </w:tc>
      </w:tr>
    </w:tbl>
    <w:p w14:paraId="2469C534" w14:textId="77777777" w:rsidR="0072538A" w:rsidRPr="0099279D" w:rsidRDefault="0072538A" w:rsidP="0099279D">
      <w:pPr>
        <w:spacing w:after="0" w:line="240" w:lineRule="auto"/>
        <w:jc w:val="both"/>
        <w:rPr>
          <w:rFonts w:ascii="Garamond" w:hAnsi="Garamond" w:cs="Times New Roman"/>
        </w:rPr>
      </w:pPr>
    </w:p>
    <w:sectPr w:rsidR="0072538A" w:rsidRPr="0099279D" w:rsidSect="00393A04">
      <w:footerReference w:type="default" r:id="rId6"/>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38F4" w14:textId="77777777" w:rsidR="009715EB" w:rsidRDefault="009715EB" w:rsidP="00E1697E">
      <w:pPr>
        <w:spacing w:after="0" w:line="240" w:lineRule="auto"/>
      </w:pPr>
      <w:r>
        <w:separator/>
      </w:r>
    </w:p>
  </w:endnote>
  <w:endnote w:type="continuationSeparator" w:id="0">
    <w:p w14:paraId="4C12F554" w14:textId="77777777" w:rsidR="009715EB" w:rsidRDefault="009715EB" w:rsidP="00E1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922078"/>
      <w:docPartObj>
        <w:docPartGallery w:val="Page Numbers (Bottom of Page)"/>
        <w:docPartUnique/>
      </w:docPartObj>
    </w:sdtPr>
    <w:sdtEndPr>
      <w:rPr>
        <w:rFonts w:ascii="Garamond" w:hAnsi="Garamond"/>
      </w:rPr>
    </w:sdtEndPr>
    <w:sdtContent>
      <w:p w14:paraId="7960F1EF" w14:textId="69D6F8E8" w:rsidR="00E1697E" w:rsidRPr="00393A04" w:rsidRDefault="00E1697E">
        <w:pPr>
          <w:pStyle w:val="Piedepgina"/>
          <w:jc w:val="right"/>
          <w:rPr>
            <w:rFonts w:ascii="Garamond" w:hAnsi="Garamond"/>
          </w:rPr>
        </w:pPr>
        <w:r w:rsidRPr="00393A04">
          <w:rPr>
            <w:rFonts w:ascii="Garamond" w:hAnsi="Garamond"/>
          </w:rPr>
          <w:fldChar w:fldCharType="begin"/>
        </w:r>
        <w:r w:rsidRPr="00393A04">
          <w:rPr>
            <w:rFonts w:ascii="Garamond" w:hAnsi="Garamond"/>
          </w:rPr>
          <w:instrText>PAGE   \* MERGEFORMAT</w:instrText>
        </w:r>
        <w:r w:rsidRPr="00393A04">
          <w:rPr>
            <w:rFonts w:ascii="Garamond" w:hAnsi="Garamond"/>
          </w:rPr>
          <w:fldChar w:fldCharType="separate"/>
        </w:r>
        <w:r w:rsidRPr="00393A04">
          <w:rPr>
            <w:rFonts w:ascii="Garamond" w:hAnsi="Garamond"/>
            <w:lang w:val="es-ES"/>
          </w:rPr>
          <w:t>2</w:t>
        </w:r>
        <w:r w:rsidRPr="00393A04">
          <w:rPr>
            <w:rFonts w:ascii="Garamond" w:hAnsi="Garamond"/>
          </w:rPr>
          <w:fldChar w:fldCharType="end"/>
        </w:r>
      </w:p>
    </w:sdtContent>
  </w:sdt>
  <w:p w14:paraId="2B9C9D74" w14:textId="77777777" w:rsidR="00E1697E" w:rsidRDefault="00E169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25F8" w14:textId="77777777" w:rsidR="009715EB" w:rsidRDefault="009715EB" w:rsidP="00E1697E">
      <w:pPr>
        <w:spacing w:after="0" w:line="240" w:lineRule="auto"/>
      </w:pPr>
      <w:r>
        <w:separator/>
      </w:r>
    </w:p>
  </w:footnote>
  <w:footnote w:type="continuationSeparator" w:id="0">
    <w:p w14:paraId="40F0716F" w14:textId="77777777" w:rsidR="009715EB" w:rsidRDefault="009715EB" w:rsidP="00E16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8A"/>
    <w:rsid w:val="000D03D9"/>
    <w:rsid w:val="001B331B"/>
    <w:rsid w:val="00393A04"/>
    <w:rsid w:val="004B7773"/>
    <w:rsid w:val="005546A6"/>
    <w:rsid w:val="005574C0"/>
    <w:rsid w:val="0057678C"/>
    <w:rsid w:val="00646BB5"/>
    <w:rsid w:val="0072538A"/>
    <w:rsid w:val="0078440B"/>
    <w:rsid w:val="007E72F3"/>
    <w:rsid w:val="00866D98"/>
    <w:rsid w:val="009715EB"/>
    <w:rsid w:val="0099279D"/>
    <w:rsid w:val="009C5CB3"/>
    <w:rsid w:val="009F027D"/>
    <w:rsid w:val="00AC3BE6"/>
    <w:rsid w:val="00E1697E"/>
    <w:rsid w:val="00E4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1B62"/>
  <w15:chartTrackingRefBased/>
  <w15:docId w15:val="{487E773C-0B54-4523-AEBD-1518CFA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8A"/>
    <w:rPr>
      <w:noProof/>
      <w:lang w:val="es-DO"/>
    </w:rPr>
  </w:style>
  <w:style w:type="paragraph" w:styleId="Ttulo1">
    <w:name w:val="heading 1"/>
    <w:basedOn w:val="Normal"/>
    <w:next w:val="Normal"/>
    <w:link w:val="Ttulo1Car"/>
    <w:uiPriority w:val="9"/>
    <w:qFormat/>
    <w:rsid w:val="00725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38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38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38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3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3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3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3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38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538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538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538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538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53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3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3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38A"/>
    <w:rPr>
      <w:rFonts w:eastAsiaTheme="majorEastAsia" w:cstheme="majorBidi"/>
      <w:color w:val="272727" w:themeColor="text1" w:themeTint="D8"/>
    </w:rPr>
  </w:style>
  <w:style w:type="paragraph" w:styleId="Ttulo">
    <w:name w:val="Title"/>
    <w:basedOn w:val="Normal"/>
    <w:next w:val="Normal"/>
    <w:link w:val="TtuloCar"/>
    <w:uiPriority w:val="10"/>
    <w:qFormat/>
    <w:rsid w:val="0072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3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3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3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38A"/>
    <w:pPr>
      <w:spacing w:before="160"/>
      <w:jc w:val="center"/>
    </w:pPr>
    <w:rPr>
      <w:i/>
      <w:iCs/>
      <w:color w:val="404040" w:themeColor="text1" w:themeTint="BF"/>
    </w:rPr>
  </w:style>
  <w:style w:type="character" w:customStyle="1" w:styleId="CitaCar">
    <w:name w:val="Cita Car"/>
    <w:basedOn w:val="Fuentedeprrafopredeter"/>
    <w:link w:val="Cita"/>
    <w:uiPriority w:val="29"/>
    <w:rsid w:val="0072538A"/>
    <w:rPr>
      <w:i/>
      <w:iCs/>
      <w:color w:val="404040" w:themeColor="text1" w:themeTint="BF"/>
    </w:rPr>
  </w:style>
  <w:style w:type="paragraph" w:styleId="Prrafodelista">
    <w:name w:val="List Paragraph"/>
    <w:basedOn w:val="Normal"/>
    <w:uiPriority w:val="34"/>
    <w:qFormat/>
    <w:rsid w:val="0072538A"/>
    <w:pPr>
      <w:ind w:left="720"/>
      <w:contextualSpacing/>
    </w:pPr>
  </w:style>
  <w:style w:type="character" w:styleId="nfasisintenso">
    <w:name w:val="Intense Emphasis"/>
    <w:basedOn w:val="Fuentedeprrafopredeter"/>
    <w:uiPriority w:val="21"/>
    <w:qFormat/>
    <w:rsid w:val="0072538A"/>
    <w:rPr>
      <w:i/>
      <w:iCs/>
      <w:color w:val="2F5496" w:themeColor="accent1" w:themeShade="BF"/>
    </w:rPr>
  </w:style>
  <w:style w:type="paragraph" w:styleId="Citadestacada">
    <w:name w:val="Intense Quote"/>
    <w:basedOn w:val="Normal"/>
    <w:next w:val="Normal"/>
    <w:link w:val="CitadestacadaCar"/>
    <w:uiPriority w:val="30"/>
    <w:qFormat/>
    <w:rsid w:val="0072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38A"/>
    <w:rPr>
      <w:i/>
      <w:iCs/>
      <w:color w:val="2F5496" w:themeColor="accent1" w:themeShade="BF"/>
    </w:rPr>
  </w:style>
  <w:style w:type="character" w:styleId="Referenciaintensa">
    <w:name w:val="Intense Reference"/>
    <w:basedOn w:val="Fuentedeprrafopredeter"/>
    <w:uiPriority w:val="32"/>
    <w:qFormat/>
    <w:rsid w:val="0072538A"/>
    <w:rPr>
      <w:b/>
      <w:bCs/>
      <w:smallCaps/>
      <w:color w:val="2F5496" w:themeColor="accent1" w:themeShade="BF"/>
      <w:spacing w:val="5"/>
    </w:rPr>
  </w:style>
  <w:style w:type="paragraph" w:styleId="Encabezado">
    <w:name w:val="header"/>
    <w:basedOn w:val="Normal"/>
    <w:link w:val="EncabezadoCar"/>
    <w:uiPriority w:val="99"/>
    <w:unhideWhenUsed/>
    <w:rsid w:val="00E169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697E"/>
  </w:style>
  <w:style w:type="paragraph" w:styleId="Piedepgina">
    <w:name w:val="footer"/>
    <w:basedOn w:val="Normal"/>
    <w:link w:val="PiedepginaCar"/>
    <w:uiPriority w:val="99"/>
    <w:unhideWhenUsed/>
    <w:rsid w:val="00E169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980</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JCE</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Marcelino Reyes Ramirez</dc:creator>
  <cp:keywords/>
  <dc:description/>
  <cp:lastModifiedBy>Victor Antonio Diaz Peña</cp:lastModifiedBy>
  <cp:revision>9</cp:revision>
  <dcterms:created xsi:type="dcterms:W3CDTF">2025-05-09T01:53:00Z</dcterms:created>
  <dcterms:modified xsi:type="dcterms:W3CDTF">2025-05-13T17:47:00Z</dcterms:modified>
</cp:coreProperties>
</file>